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filename1.htm"/>
        <w:bookmarkStart w:id="1" w:name="ksfilename1"/>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3">
                <wp:simplePos x="0" y="0"/>
                <wp:positionH relativeFrom="page">
                  <wp:posOffset>617855</wp:posOffset>
                </wp:positionH>
                <wp:positionV relativeFrom="page">
                  <wp:posOffset>9383395</wp:posOffset>
                </wp:positionV>
                <wp:extent cx="7560310" cy="701040"/>
                <wp:effectExtent l="0" t="0" r="0" b="0"/>
                <wp:wrapNone/>
                <wp:docPr id="1" name="Frame1"/>
                <a:graphic xmlns:a="http://schemas.openxmlformats.org/drawingml/2006/main">
                  <a:graphicData uri="http://schemas.microsoft.com/office/word/2010/wordprocessingShape">
                    <wps:wsp>
                      <wps:cNvSpPr txBox="1"/>
                      <wps:spPr>
                        <a:xfrm>
                          <a:off x="0" y="0"/>
                          <a:ext cx="7560310" cy="701040"/>
                        </a:xfrm>
                        <a:prstGeom prst="rect"/>
                        <a:solidFill>
                          <a:srgbClr val="FFFFFF"/>
                        </a:solidFill>
                      </wps:spPr>
                      <wps:txbx>
                        <w:txbxContent>
                          <w:p>
                            <w:pPr>
                              <w:pStyle w:val="TextBody"/>
                              <w:bidi w:val="0"/>
                              <w:spacing w:lineRule="atLeast" w:line="240" w:before="0" w:after="0"/>
                              <w:jc w:val="both"/>
                              <w:rPr>
                                <w:rFonts w:ascii="Helvetica;Arial Narrow;sans-serif" w:hAnsi="Helvetica;Arial Narrow;sans-serif"/>
                                <w:color w:val="EA5B4E"/>
                              </w:rPr>
                            </w:pPr>
                            <w:r>
                              <w:rPr>
                                <w:rFonts w:ascii="Helvetica;Arial Narrow;sans-serif" w:hAnsi="Helvetica;Arial Narrow;sans-serif"/>
                                <w:color w:val="EA5B4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r>
                              <w:rPr>
                                <w:rFonts w:ascii="Helvetica;Arial Narrow;sans-serif" w:hAnsi="Helvetica;Arial Narrow;sans-serif"/>
                                <w:color w:val="000000"/>
                              </w:rPr>
                              <w:t xml:space="preserve"> </w:t>
                            </w:r>
                          </w:p>
                        </w:txbxContent>
                      </wps:txbx>
                      <wps:bodyPr anchor="t" lIns="0" tIns="0" rIns="0" bIns="0">
                        <a:noAutofit/>
                      </wps:bodyPr>
                    </wps:wsp>
                  </a:graphicData>
                </a:graphic>
              </wp:anchor>
            </w:drawing>
          </mc:Choice>
          <mc:Fallback>
            <w:pict>
              <v:rect style="position:absolute;rotation:-0;width:595.3pt;height:55.2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240" w:before="0" w:after="0"/>
                        <w:jc w:val="both"/>
                        <w:rPr>
                          <w:rFonts w:ascii="Helvetica;Arial Narrow;sans-serif" w:hAnsi="Helvetica;Arial Narrow;sans-serif"/>
                          <w:color w:val="EA5B4E"/>
                        </w:rPr>
                      </w:pPr>
                      <w:r>
                        <w:rPr>
                          <w:rFonts w:ascii="Helvetica;Arial Narrow;sans-serif" w:hAnsi="Helvetica;Arial Narrow;sans-serif"/>
                          <w:color w:val="EA5B4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r>
                        <w:rPr>
                          <w:rFonts w:ascii="Helvetica;Arial Narrow;sans-serif" w:hAnsi="Helvetica;Arial Narrow;sans-serif"/>
                          <w:color w:val="000000"/>
                        </w:rPr>
                        <w:t xml:space="preserve"> </w:t>
                      </w:r>
                    </w:p>
                  </w:txbxContent>
                </v:textbox>
                <w10:wrap type="none"/>
              </v:rect>
            </w:pict>
          </mc:Fallback>
        </mc:AlternateContent>
      </w:r>
    </w:p>
    <w:p>
      <w:pPr>
        <w:pStyle w:val="TextBody"/>
        <w:bidi w:val="0"/>
        <w:spacing w:lineRule="atLeast" w:line="170" w:before="557" w:after="437"/>
        <w:ind w:left="540" w:right="0" w:hanging="0"/>
        <w:jc w:val="center"/>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 xml:space="preserve">As confidentially submitted to the Securities and Exchange Commission on July 14, 2026.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 xml:space="preserve">This draft registration statement has not been publicly filed with the Securities and Exchange Commission and all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information herein remains strictly confidential.</w:t>
      </w:r>
      <w:r>
        <w:rPr>
          <w:rFonts w:ascii="Helvetica;Arial;sans-serif" w:hAnsi="Helvetica;Arial;sans-serif"/>
          <w:b/>
          <w:i w:val="false"/>
          <w:caps w:val="false"/>
          <w:smallCaps w:val="false"/>
          <w:color w:val="000000"/>
          <w:spacing w:val="3"/>
          <w:sz w:val="17"/>
        </w:rPr>
        <w:t xml:space="preserve"> </w:t>
      </w:r>
    </w:p>
    <w:p>
      <w:pPr>
        <w:pStyle w:val="TextBody"/>
        <w:bidi w:val="0"/>
        <w:spacing w:lineRule="atLeast" w:line="170" w:before="80" w:after="283"/>
        <w:jc w:val="right"/>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Registration No. 333-    </w:t>
      </w:r>
      <w:r>
        <w:rPr>
          <w:rFonts w:ascii="Helvetica;Arial;sans-serif" w:hAnsi="Helvetica;Arial;sans-serif"/>
          <w:b/>
          <w:i w:val="false"/>
          <w:caps w:val="false"/>
          <w:smallCaps w:val="false"/>
          <w:color w:val="000000"/>
          <w:sz w:val="17"/>
        </w:rPr>
        <w:t>​</w:t>
      </w:r>
    </w:p>
    <w:p>
      <w:pPr>
        <w:pStyle w:val="TextBody"/>
        <w:bidi w:val="0"/>
        <w:spacing w:before="45"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12" w:after="283"/>
        <w:jc w:val="center"/>
        <w:rPr>
          <w:rFonts w:ascii="Helvetica;Arial;sans-serif" w:hAnsi="Helvetica;Arial;sans-serif"/>
          <w:b/>
          <w:i w:val="false"/>
          <w:caps w:val="false"/>
          <w:smallCaps w:val="false"/>
          <w:color w:val="000000"/>
          <w:sz w:val="32"/>
        </w:rPr>
      </w:pPr>
      <w:r>
        <w:rPr>
          <w:rFonts w:ascii="Helvetica;Arial;sans-serif" w:hAnsi="Helvetica;Arial;sans-serif"/>
          <w:b/>
          <w:i w:val="false"/>
          <w:caps w:val="false"/>
          <w:smallCaps w:val="false"/>
          <w:color w:val="000000"/>
          <w:spacing w:val="-3"/>
          <w:sz w:val="32"/>
        </w:rPr>
        <w:t xml:space="preserve">UNITED STATES </w:t>
      </w:r>
      <w:r>
        <w:rPr>
          <w:rFonts w:ascii="Helvetica;Arial;sans-serif" w:hAnsi="Helvetica;Arial;sans-serif"/>
          <w:b/>
          <w:i w:val="false"/>
          <w:caps w:val="false"/>
          <w:smallCaps w:val="false"/>
          <w:color w:val="000000"/>
          <w:sz w:val="32"/>
        </w:rPr>
        <w:br/>
      </w:r>
      <w:r>
        <w:rPr>
          <w:rFonts w:ascii="Helvetica;Arial;sans-serif" w:hAnsi="Helvetica;Arial;sans-serif"/>
          <w:b/>
          <w:i w:val="false"/>
          <w:caps w:val="false"/>
          <w:smallCaps w:val="false"/>
          <w:color w:val="000000"/>
          <w:spacing w:val="-3"/>
          <w:sz w:val="32"/>
        </w:rPr>
        <w:t>SECURITIES AND EXCHANGE COMMISSION</w:t>
      </w:r>
      <w:r>
        <w:rPr>
          <w:rFonts w:ascii="Helvetica;Arial;sans-serif" w:hAnsi="Helvetica;Arial;sans-serif"/>
          <w:b/>
          <w:i w:val="false"/>
          <w:caps w:val="false"/>
          <w:smallCaps w:val="false"/>
          <w:color w:val="000000"/>
          <w:spacing w:val="6"/>
          <w:sz w:val="32"/>
        </w:rPr>
        <w:t xml:space="preserve"> </w:t>
      </w:r>
    </w:p>
    <w:p>
      <w:pPr>
        <w:pStyle w:val="TextBody"/>
        <w:bidi w:val="0"/>
        <w:spacing w:lineRule="atLeast" w:line="170" w:before="10" w:after="283"/>
        <w:jc w:val="center"/>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WASHINGTON, D.C. 20549</w:t>
      </w:r>
      <w:r>
        <w:rPr>
          <w:rFonts w:ascii="Helvetica;Arial;sans-serif" w:hAnsi="Helvetica;Arial;sans-serif"/>
          <w:b/>
          <w:i w:val="false"/>
          <w:caps w:val="false"/>
          <w:smallCaps w:val="false"/>
          <w:color w:val="000000"/>
          <w:spacing w:val="3"/>
          <w:sz w:val="17"/>
        </w:rPr>
        <w:t xml:space="preserve"> </w:t>
      </w:r>
    </w:p>
    <w:p>
      <w:pPr>
        <w:pStyle w:val="TextBody"/>
        <w:bidi w:val="0"/>
        <w:spacing w:before="115"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114" w:after="283"/>
        <w:jc w:val="center"/>
        <w:rPr>
          <w:rFonts w:ascii="Helvetica;Arial;sans-serif" w:hAnsi="Helvetica;Arial;sans-serif"/>
          <w:b/>
          <w:i w:val="false"/>
          <w:caps w:val="false"/>
          <w:smallCaps w:val="false"/>
          <w:color w:val="000000"/>
          <w:sz w:val="32"/>
        </w:rPr>
      </w:pPr>
      <w:r>
        <w:rPr>
          <w:rFonts w:ascii="Helvetica;Arial;sans-serif" w:hAnsi="Helvetica;Arial;sans-serif"/>
          <w:b/>
          <w:i w:val="false"/>
          <w:caps w:val="false"/>
          <w:smallCaps w:val="false"/>
          <w:color w:val="000000"/>
          <w:spacing w:val="-3"/>
          <w:sz w:val="32"/>
        </w:rPr>
        <w:t>FORM S-1</w:t>
      </w:r>
      <w:r>
        <w:rPr>
          <w:rFonts w:ascii="Helvetica;Arial;sans-serif" w:hAnsi="Helvetica;Arial;sans-serif"/>
          <w:b/>
          <w:i w:val="false"/>
          <w:caps w:val="false"/>
          <w:smallCaps w:val="false"/>
          <w:color w:val="000000"/>
          <w:spacing w:val="6"/>
          <w:sz w:val="32"/>
        </w:rPr>
        <w:t xml:space="preserve"> </w:t>
      </w:r>
    </w:p>
    <w:p>
      <w:pPr>
        <w:pStyle w:val="TextBody"/>
        <w:bidi w:val="0"/>
        <w:spacing w:lineRule="atLeast" w:line="170" w:before="60" w:after="283"/>
        <w:jc w:val="center"/>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 xml:space="preserve">REGISTRATION STATEMENT </w:t>
      </w:r>
      <w:r>
        <w:rPr>
          <w:rFonts w:ascii="Helvetica;Arial;sans-serif" w:hAnsi="Helvetica;Arial;sans-serif"/>
          <w:b/>
          <w:i w:val="false"/>
          <w:caps w:val="false"/>
          <w:smallCaps w:val="false"/>
          <w:color w:val="000000"/>
          <w:sz w:val="17"/>
        </w:rPr>
        <w:br/>
      </w:r>
      <w:r>
        <w:rPr>
          <w:rFonts w:ascii="Helvetica;Arial;sans-serif" w:hAnsi="Helvetica;Arial;sans-serif"/>
          <w:b/>
          <w:i/>
          <w:caps w:val="false"/>
          <w:smallCaps w:val="false"/>
          <w:color w:val="000000"/>
          <w:spacing w:val="-2"/>
          <w:sz w:val="17"/>
        </w:rPr>
        <w:t>UNDER</w:t>
      </w:r>
      <w:r>
        <w:rPr>
          <w:rFonts w:ascii="Helvetica;Arial;sans-serif" w:hAnsi="Helvetica;Arial;sans-serif"/>
          <w:b/>
          <w:i w:val="false"/>
          <w:caps w:val="false"/>
          <w:smallCaps w:val="false"/>
          <w:color w:val="000000"/>
          <w:spacing w:val="-2"/>
          <w:sz w:val="17"/>
        </w:rPr>
        <w:t xml:space="preserve"> </w:t>
      </w:r>
      <w:r>
        <w:rPr>
          <w:rFonts w:ascii="Helvetica;Arial;sans-serif" w:hAnsi="Helvetica;Arial;sans-serif"/>
          <w:b/>
          <w:i w:val="false"/>
          <w:caps w:val="false"/>
          <w:smallCaps w:val="false"/>
          <w:color w:val="000000"/>
          <w:sz w:val="17"/>
        </w:rPr>
        <w:br/>
      </w:r>
      <w:r>
        <w:rPr>
          <w:rFonts w:ascii="Helvetica;Arial;sans-serif" w:hAnsi="Helvetica;Arial;sans-serif"/>
          <w:b/>
          <w:i/>
          <w:caps w:val="false"/>
          <w:smallCaps w:val="false"/>
          <w:color w:val="000000"/>
          <w:spacing w:val="-2"/>
          <w:sz w:val="17"/>
        </w:rPr>
        <w:t>THE SECURITIES ACT OF 1933</w:t>
      </w:r>
      <w:r>
        <w:rPr>
          <w:rFonts w:ascii="Helvetica;Arial;sans-serif" w:hAnsi="Helvetica;Arial;sans-serif"/>
          <w:b/>
          <w:i w:val="false"/>
          <w:caps w:val="false"/>
          <w:smallCaps w:val="false"/>
          <w:color w:val="000000"/>
          <w:spacing w:val="3"/>
          <w:sz w:val="17"/>
        </w:rPr>
        <w:t xml:space="preserve"> </w:t>
      </w:r>
    </w:p>
    <w:p>
      <w:pPr>
        <w:pStyle w:val="TextBody"/>
        <w:bidi w:val="0"/>
        <w:spacing w:before="115"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114" w:after="283"/>
        <w:jc w:val="center"/>
        <w:rPr>
          <w:rFonts w:ascii="Helvetica;Arial;sans-serif" w:hAnsi="Helvetica;Arial;sans-serif"/>
          <w:b/>
          <w:i w:val="false"/>
          <w:caps w:val="false"/>
          <w:smallCaps w:val="false"/>
          <w:color w:val="000000"/>
          <w:sz w:val="32"/>
        </w:rPr>
      </w:pPr>
      <w:r>
        <w:rPr>
          <w:rFonts w:ascii="Helvetica;Arial;sans-serif" w:hAnsi="Helvetica;Arial;sans-serif"/>
          <w:b/>
          <w:i w:val="false"/>
          <w:caps w:val="false"/>
          <w:smallCaps w:val="false"/>
          <w:color w:val="000000"/>
          <w:spacing w:val="-3"/>
          <w:sz w:val="32"/>
        </w:rPr>
        <w:t>City Therapeutics, Inc.</w:t>
      </w:r>
      <w:r>
        <w:rPr>
          <w:rFonts w:ascii="Helvetica;Arial;sans-serif" w:hAnsi="Helvetica;Arial;sans-serif"/>
          <w:b/>
          <w:i w:val="false"/>
          <w:caps w:val="false"/>
          <w:smallCaps w:val="false"/>
          <w:color w:val="000000"/>
          <w:spacing w:val="6"/>
          <w:sz w:val="32"/>
        </w:rPr>
        <w:t xml:space="preserve"> </w:t>
      </w:r>
    </w:p>
    <w:p>
      <w:pPr>
        <w:pStyle w:val="TextBody"/>
        <w:bidi w:val="0"/>
        <w:spacing w:lineRule="atLeast" w:line="150" w:before="0" w:after="283"/>
        <w:jc w:val="center"/>
        <w:rPr>
          <w:rFonts w:ascii="Helvetica;Arial;sans-serif" w:hAnsi="Helvetica;Arial;sans-serif"/>
          <w:b w:val="false"/>
          <w:i w:val="false"/>
          <w:caps w:val="false"/>
          <w:smallCaps w:val="false"/>
          <w:color w:val="000000"/>
          <w:sz w:val="15"/>
        </w:rPr>
      </w:pPr>
      <w:r>
        <w:rPr>
          <w:rFonts w:ascii="Helvetica;Arial;sans-serif" w:hAnsi="Helvetica;Arial;sans-serif"/>
          <w:b w:val="false"/>
          <w:i w:val="false"/>
          <w:caps w:val="false"/>
          <w:smallCaps w:val="false"/>
          <w:color w:val="000000"/>
          <w:spacing w:val="-1"/>
          <w:sz w:val="15"/>
        </w:rPr>
        <w:t>(Exact name of registrant as specified in its charter)</w:t>
      </w:r>
      <w:r>
        <w:rPr>
          <w:rFonts w:ascii="Helvetica;Arial;sans-serif" w:hAnsi="Helvetica;Arial;sans-serif"/>
          <w:b w:val="false"/>
          <w:i w:val="false"/>
          <w:caps w:val="false"/>
          <w:smallCaps w:val="false"/>
          <w:color w:val="000000"/>
          <w:spacing w:val="3"/>
          <w:sz w:val="15"/>
        </w:rPr>
        <w:t xml:space="preserve"> </w:t>
      </w:r>
    </w:p>
    <w:p>
      <w:pPr>
        <w:pStyle w:val="TextBody"/>
        <w:bidi w:val="0"/>
        <w:spacing w:before="113"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889" w:type="dxa"/>
        <w:jc w:val="left"/>
        <w:tblInd w:w="540" w:type="dxa"/>
        <w:tblLayout w:type="fixed"/>
        <w:tblCellMar>
          <w:top w:w="0" w:type="dxa"/>
          <w:left w:w="0" w:type="dxa"/>
          <w:bottom w:w="0" w:type="dxa"/>
          <w:right w:w="0" w:type="dxa"/>
        </w:tblCellMar>
      </w:tblPr>
      <w:tblGrid>
        <w:gridCol w:w="124"/>
        <w:gridCol w:w="2962"/>
        <w:gridCol w:w="109"/>
        <w:gridCol w:w="109"/>
        <w:gridCol w:w="2905"/>
        <w:gridCol w:w="109"/>
        <w:gridCol w:w="109"/>
        <w:gridCol w:w="2308"/>
        <w:gridCol w:w="154"/>
      </w:tblGrid>
      <w:tr>
        <w:trPr/>
        <w:tc>
          <w:tcPr>
            <w:tcW w:w="124" w:type="dxa"/>
            <w:tcBorders/>
            <w:vAlign w:val="center"/>
          </w:tcPr>
          <w:p>
            <w:pPr>
              <w:pStyle w:val="TableContents"/>
              <w:bidi w:val="0"/>
              <w:spacing w:before="0" w:after="283"/>
              <w:jc w:val="left"/>
              <w:rPr/>
            </w:pPr>
            <w:r>
              <w:rPr/>
              <w:t>​</w:t>
            </w:r>
          </w:p>
        </w:tc>
        <w:tc>
          <w:tcPr>
            <w:tcW w:w="2962" w:type="dxa"/>
            <w:tcBorders/>
            <w:vAlign w:val="center"/>
          </w:tcPr>
          <w:p>
            <w:pPr>
              <w:pStyle w:val="TableContents"/>
              <w:bidi w:val="0"/>
              <w:spacing w:before="0" w:after="0"/>
              <w:jc w:val="center"/>
              <w:rPr>
                <w:b/>
                <w:sz w:val="17"/>
              </w:rPr>
            </w:pPr>
            <w:r>
              <w:rPr>
                <w:b/>
                <w:spacing w:val="-2"/>
                <w:sz w:val="17"/>
              </w:rPr>
              <w:t>Delaware</w:t>
            </w:r>
            <w:r>
              <w:rPr>
                <w:b/>
                <w:sz w:val="17"/>
              </w:rPr>
              <w:t xml:space="preserve"> </w:t>
            </w:r>
          </w:p>
          <w:p>
            <w:pPr>
              <w:pStyle w:val="TableContents"/>
              <w:bidi w:val="0"/>
              <w:spacing w:lineRule="atLeast" w:line="166" w:before="33" w:after="283"/>
              <w:jc w:val="center"/>
              <w:rPr/>
            </w:pPr>
            <w:r>
              <w:rPr>
                <w:spacing w:val="-1"/>
              </w:rPr>
              <w:t>(State or other jurisdiction of</w:t>
            </w:r>
            <w:r>
              <w:rPr/>
              <w:t xml:space="preserve"> </w:t>
              <w:br/>
            </w:r>
            <w:r>
              <w:rPr>
                <w:spacing w:val="-1"/>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05" w:type="dxa"/>
            <w:tcBorders/>
            <w:vAlign w:val="center"/>
          </w:tcPr>
          <w:p>
            <w:pPr>
              <w:pStyle w:val="TableContents"/>
              <w:bidi w:val="0"/>
              <w:spacing w:before="0" w:after="0"/>
              <w:jc w:val="center"/>
              <w:rPr>
                <w:b/>
                <w:sz w:val="17"/>
              </w:rPr>
            </w:pPr>
            <w:r>
              <w:rPr>
                <w:b/>
                <w:spacing w:val="-2"/>
                <w:sz w:val="17"/>
              </w:rPr>
              <w:t>2834</w:t>
            </w:r>
            <w:r>
              <w:rPr>
                <w:b/>
                <w:sz w:val="17"/>
              </w:rPr>
              <w:t xml:space="preserve"> </w:t>
            </w:r>
          </w:p>
          <w:p>
            <w:pPr>
              <w:pStyle w:val="TableContents"/>
              <w:bidi w:val="0"/>
              <w:spacing w:lineRule="atLeast" w:line="166" w:before="33" w:after="283"/>
              <w:jc w:val="center"/>
              <w:rPr/>
            </w:pPr>
            <w:r>
              <w:rPr>
                <w:spacing w:val="-1"/>
              </w:rPr>
              <w:t>(Primary Standard Industrial</w:t>
            </w:r>
            <w:r>
              <w:rPr/>
              <w:t xml:space="preserve"> </w:t>
              <w:br/>
            </w:r>
            <w:r>
              <w:rPr>
                <w:spacing w:val="-1"/>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08" w:type="dxa"/>
            <w:tcBorders/>
            <w:vAlign w:val="center"/>
          </w:tcPr>
          <w:p>
            <w:pPr>
              <w:pStyle w:val="TableContents"/>
              <w:bidi w:val="0"/>
              <w:spacing w:before="0" w:after="0"/>
              <w:jc w:val="center"/>
              <w:rPr>
                <w:b/>
                <w:sz w:val="17"/>
              </w:rPr>
            </w:pPr>
            <w:r>
              <w:rPr>
                <w:b/>
                <w:spacing w:val="-2"/>
                <w:sz w:val="17"/>
              </w:rPr>
              <w:t>93-2762122</w:t>
            </w:r>
            <w:r>
              <w:rPr>
                <w:b/>
                <w:sz w:val="17"/>
              </w:rPr>
              <w:t xml:space="preserve"> </w:t>
            </w:r>
          </w:p>
          <w:p>
            <w:pPr>
              <w:pStyle w:val="TableContents"/>
              <w:bidi w:val="0"/>
              <w:spacing w:lineRule="atLeast" w:line="146" w:before="33" w:after="283"/>
              <w:jc w:val="center"/>
              <w:rPr/>
            </w:pPr>
            <w:r>
              <w:rPr>
                <w:spacing w:val="-1"/>
              </w:rPr>
              <w:t>(I.R.S. Employer</w:t>
            </w:r>
            <w:r>
              <w:rPr/>
              <w:t xml:space="preserve"> </w:t>
              <w:br/>
            </w:r>
            <w:r>
              <w:rPr>
                <w:spacing w:val="-1"/>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14" w:after="283"/>
        <w:jc w:val="center"/>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 xml:space="preserve">399 Binney Street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 xml:space="preserve">Cambridge, MA 02142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(857) 357-2024</w:t>
      </w:r>
      <w:r>
        <w:rPr>
          <w:rFonts w:ascii="Helvetica;Arial;sans-serif" w:hAnsi="Helvetica;Arial;sans-serif"/>
          <w:b/>
          <w:i w:val="false"/>
          <w:caps w:val="false"/>
          <w:smallCaps w:val="false"/>
          <w:color w:val="000000"/>
          <w:spacing w:val="3"/>
          <w:sz w:val="17"/>
        </w:rPr>
        <w:t xml:space="preserve"> </w:t>
      </w:r>
    </w:p>
    <w:p>
      <w:pPr>
        <w:pStyle w:val="TextBody"/>
        <w:bidi w:val="0"/>
        <w:spacing w:lineRule="atLeast" w:line="150" w:before="10" w:after="283"/>
        <w:jc w:val="center"/>
        <w:rPr>
          <w:rFonts w:ascii="Helvetica;Arial;sans-serif" w:hAnsi="Helvetica;Arial;sans-serif"/>
          <w:b w:val="false"/>
          <w:i w:val="false"/>
          <w:caps w:val="false"/>
          <w:smallCaps w:val="false"/>
          <w:color w:val="000000"/>
          <w:sz w:val="15"/>
        </w:rPr>
      </w:pPr>
      <w:r>
        <w:rPr>
          <w:rFonts w:ascii="Helvetica;Arial;sans-serif" w:hAnsi="Helvetica;Arial;sans-serif"/>
          <w:b w:val="false"/>
          <w:i w:val="false"/>
          <w:caps w:val="false"/>
          <w:smallCaps w:val="false"/>
          <w:color w:val="000000"/>
          <w:spacing w:val="-1"/>
          <w:sz w:val="15"/>
        </w:rPr>
        <w:t>(Address, including zip code, and telephone number, including area code, of registrant’s principal executive offices)</w:t>
      </w:r>
      <w:r>
        <w:rPr>
          <w:rFonts w:ascii="Helvetica;Arial;sans-serif" w:hAnsi="Helvetica;Arial;sans-serif"/>
          <w:b w:val="false"/>
          <w:i w:val="false"/>
          <w:caps w:val="false"/>
          <w:smallCaps w:val="false"/>
          <w:color w:val="000000"/>
          <w:spacing w:val="3"/>
          <w:sz w:val="15"/>
        </w:rPr>
        <w:t xml:space="preserve"> </w:t>
      </w:r>
    </w:p>
    <w:p>
      <w:pPr>
        <w:pStyle w:val="TextBody"/>
        <w:bidi w:val="0"/>
        <w:spacing w:before="11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14" w:after="283"/>
        <w:jc w:val="center"/>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 xml:space="preserve">Andrew Orth, M.B.A.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 xml:space="preserve">President and Chief Executive Officer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 xml:space="preserve">City Therapeutics, Inc.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 xml:space="preserve">399 Binney Street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 xml:space="preserve">Cambridge, MA 02142 </w:t>
      </w:r>
      <w:r>
        <w:rPr>
          <w:rFonts w:ascii="Helvetica;Arial;sans-serif" w:hAnsi="Helvetica;Arial;sans-serif"/>
          <w:b/>
          <w:i w:val="false"/>
          <w:caps w:val="false"/>
          <w:smallCaps w:val="false"/>
          <w:color w:val="000000"/>
          <w:sz w:val="17"/>
        </w:rPr>
        <w:br/>
      </w:r>
      <w:r>
        <w:rPr>
          <w:rFonts w:ascii="Helvetica;Arial;sans-serif" w:hAnsi="Helvetica;Arial;sans-serif"/>
          <w:b/>
          <w:i w:val="false"/>
          <w:caps w:val="false"/>
          <w:smallCaps w:val="false"/>
          <w:color w:val="000000"/>
          <w:spacing w:val="-2"/>
          <w:sz w:val="17"/>
        </w:rPr>
        <w:t>(857) 357-2024</w:t>
      </w:r>
      <w:r>
        <w:rPr>
          <w:rFonts w:ascii="Helvetica;Arial;sans-serif" w:hAnsi="Helvetica;Arial;sans-serif"/>
          <w:b/>
          <w:i w:val="false"/>
          <w:caps w:val="false"/>
          <w:smallCaps w:val="false"/>
          <w:color w:val="000000"/>
          <w:spacing w:val="3"/>
          <w:sz w:val="17"/>
        </w:rPr>
        <w:t xml:space="preserve"> </w:t>
      </w:r>
    </w:p>
    <w:p>
      <w:pPr>
        <w:pStyle w:val="TextBody"/>
        <w:bidi w:val="0"/>
        <w:spacing w:lineRule="atLeast" w:line="150" w:before="10" w:after="283"/>
        <w:jc w:val="center"/>
        <w:rPr>
          <w:rFonts w:ascii="Helvetica;Arial;sans-serif" w:hAnsi="Helvetica;Arial;sans-serif"/>
          <w:b w:val="false"/>
          <w:i w:val="false"/>
          <w:caps w:val="false"/>
          <w:smallCaps w:val="false"/>
          <w:color w:val="000000"/>
          <w:sz w:val="15"/>
        </w:rPr>
      </w:pPr>
      <w:r>
        <w:rPr>
          <w:rFonts w:ascii="Helvetica;Arial;sans-serif" w:hAnsi="Helvetica;Arial;sans-serif"/>
          <w:b w:val="false"/>
          <w:i w:val="false"/>
          <w:caps w:val="false"/>
          <w:smallCaps w:val="false"/>
          <w:color w:val="000000"/>
          <w:spacing w:val="-1"/>
          <w:sz w:val="15"/>
        </w:rPr>
        <w:t>(Name, address, including zip code, and telephone number, including area code, of agent for service)</w:t>
      </w:r>
      <w:r>
        <w:rPr>
          <w:rFonts w:ascii="Helvetica;Arial;sans-serif" w:hAnsi="Helvetica;Arial;sans-serif"/>
          <w:b w:val="false"/>
          <w:i w:val="false"/>
          <w:caps w:val="false"/>
          <w:smallCaps w:val="false"/>
          <w:color w:val="000000"/>
          <w:spacing w:val="3"/>
          <w:sz w:val="15"/>
        </w:rPr>
        <w:t xml:space="preserve"> </w:t>
      </w:r>
    </w:p>
    <w:p>
      <w:pPr>
        <w:pStyle w:val="TextBody"/>
        <w:bidi w:val="0"/>
        <w:spacing w:before="11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14" w:after="283"/>
        <w:jc w:val="center"/>
        <w:rPr>
          <w:rFonts w:ascii="Helvetica;Arial;sans-serif" w:hAnsi="Helvetica;Arial;sans-serif"/>
          <w:b/>
          <w:i/>
          <w:caps w:val="false"/>
          <w:smallCaps w:val="false"/>
          <w:color w:val="000000"/>
          <w:sz w:val="17"/>
        </w:rPr>
      </w:pPr>
      <w:r>
        <w:rPr>
          <w:rFonts w:ascii="Helvetica;Arial;sans-serif" w:hAnsi="Helvetica;Arial;sans-serif"/>
          <w:b/>
          <w:i/>
          <w:caps w:val="false"/>
          <w:smallCaps w:val="false"/>
          <w:color w:val="000000"/>
          <w:spacing w:val="-2"/>
          <w:sz w:val="17"/>
        </w:rPr>
        <w:t>Copies to:</w:t>
      </w:r>
      <w:r>
        <w:rPr>
          <w:rFonts w:ascii="Helvetica;Arial;sans-serif" w:hAnsi="Helvetica;Arial;sans-serif"/>
          <w:b/>
          <w:i/>
          <w:caps w:val="false"/>
          <w:smallCaps w:val="false"/>
          <w:color w:val="000000"/>
          <w:spacing w:val="3"/>
          <w:sz w:val="17"/>
        </w:rPr>
        <w:t xml:space="preserve"> </w:t>
      </w:r>
    </w:p>
    <w:tbl>
      <w:tblPr>
        <w:tblW w:w="9665" w:type="dxa"/>
        <w:jc w:val="left"/>
        <w:tblInd w:w="540" w:type="dxa"/>
        <w:tblLayout w:type="fixed"/>
        <w:tblCellMar>
          <w:top w:w="0" w:type="dxa"/>
          <w:left w:w="0" w:type="dxa"/>
          <w:bottom w:w="0" w:type="dxa"/>
          <w:right w:w="0" w:type="dxa"/>
        </w:tblCellMar>
      </w:tblPr>
      <w:tblGrid>
        <w:gridCol w:w="124"/>
        <w:gridCol w:w="2016"/>
        <w:gridCol w:w="109"/>
        <w:gridCol w:w="109"/>
        <w:gridCol w:w="3245"/>
        <w:gridCol w:w="109"/>
        <w:gridCol w:w="109"/>
        <w:gridCol w:w="3688"/>
        <w:gridCol w:w="156"/>
      </w:tblGrid>
      <w:tr>
        <w:trPr/>
        <w:tc>
          <w:tcPr>
            <w:tcW w:w="124" w:type="dxa"/>
            <w:tcBorders/>
            <w:vAlign w:val="center"/>
          </w:tcPr>
          <w:p>
            <w:pPr>
              <w:pStyle w:val="TableContents"/>
              <w:bidi w:val="0"/>
              <w:spacing w:before="0" w:after="283"/>
              <w:jc w:val="left"/>
              <w:rPr/>
            </w:pPr>
            <w:r>
              <w:rPr/>
              <w:t>​</w:t>
            </w:r>
          </w:p>
        </w:tc>
        <w:tc>
          <w:tcPr>
            <w:tcW w:w="2016" w:type="dxa"/>
            <w:tcBorders/>
            <w:vAlign w:val="center"/>
          </w:tcPr>
          <w:p>
            <w:pPr>
              <w:pStyle w:val="TableContents"/>
              <w:bidi w:val="0"/>
              <w:spacing w:before="0" w:after="0"/>
              <w:jc w:val="center"/>
              <w:rPr/>
            </w:pPr>
            <w:r>
              <w:rPr>
                <w:spacing w:val="-2"/>
              </w:rPr>
              <w:t>Kingsley L. Taft</w:t>
            </w:r>
            <w:r>
              <w:rPr/>
              <w:t xml:space="preserve"> </w:t>
              <w:br/>
            </w:r>
            <w:r>
              <w:rPr>
                <w:spacing w:val="-2"/>
              </w:rPr>
              <w:t>Sarah Ashfaq</w:t>
            </w:r>
            <w:r>
              <w:rPr/>
              <w:t xml:space="preserve"> </w:t>
              <w:br/>
            </w:r>
            <w:r>
              <w:rPr>
                <w:spacing w:val="-2"/>
              </w:rPr>
              <w:t>Goodwin Procter LLP</w:t>
            </w:r>
            <w:r>
              <w:rPr/>
              <w:t xml:space="preserve"> </w:t>
              <w:br/>
            </w:r>
            <w:r>
              <w:rPr>
                <w:spacing w:val="-2"/>
              </w:rPr>
              <w:t>100 Northern Avenue</w:t>
            </w:r>
            <w:r>
              <w:rPr/>
              <w:t xml:space="preserve"> </w:t>
              <w:br/>
            </w:r>
            <w:r>
              <w:rPr>
                <w:spacing w:val="-2"/>
              </w:rPr>
              <w:t>Boston, MA 02210</w:t>
            </w:r>
            <w:r>
              <w:rPr/>
              <w:t xml:space="preserve"> </w:t>
              <w:br/>
            </w:r>
            <w:r>
              <w:rPr>
                <w:spacing w:val="-2"/>
              </w:rPr>
              <w:t>(617) 570-1000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0"/>
              <w:jc w:val="center"/>
              <w:rPr/>
            </w:pPr>
            <w:r>
              <w:rPr>
                <w:spacing w:val="-2"/>
              </w:rPr>
              <w:t>Andrew Orth, M.B.A.</w:t>
            </w:r>
            <w:r>
              <w:rPr/>
              <w:t xml:space="preserve"> </w:t>
              <w:br/>
            </w:r>
            <w:r>
              <w:rPr>
                <w:spacing w:val="-2"/>
              </w:rPr>
              <w:t>President and Chief Executive Officer</w:t>
            </w:r>
            <w:r>
              <w:rPr/>
              <w:t xml:space="preserve"> </w:t>
              <w:br/>
            </w:r>
            <w:r>
              <w:rPr>
                <w:spacing w:val="-2"/>
              </w:rPr>
              <w:t>City Therapeutics, Inc.</w:t>
            </w:r>
            <w:r>
              <w:rPr/>
              <w:t xml:space="preserve"> </w:t>
              <w:br/>
            </w:r>
            <w:r>
              <w:rPr>
                <w:spacing w:val="-2"/>
              </w:rPr>
              <w:t>399 Binney Street</w:t>
            </w:r>
            <w:r>
              <w:rPr/>
              <w:t xml:space="preserve"> </w:t>
              <w:br/>
            </w:r>
            <w:r>
              <w:rPr>
                <w:spacing w:val="-2"/>
              </w:rPr>
              <w:t>Cambridge, MA 02142</w:t>
            </w:r>
            <w:r>
              <w:rPr/>
              <w:t xml:space="preserve"> </w:t>
              <w:br/>
            </w:r>
            <w:r>
              <w:rPr>
                <w:spacing w:val="-2"/>
              </w:rPr>
              <w:t>(857) 357-2024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88" w:type="dxa"/>
            <w:tcBorders/>
            <w:vAlign w:val="center"/>
          </w:tcPr>
          <w:p>
            <w:pPr>
              <w:pStyle w:val="TableContents"/>
              <w:bidi w:val="0"/>
              <w:spacing w:before="0" w:after="0"/>
              <w:jc w:val="center"/>
              <w:rPr/>
            </w:pPr>
            <w:r>
              <w:rPr>
                <w:spacing w:val="-2"/>
              </w:rPr>
              <w:t>Darah Protas</w:t>
            </w:r>
            <w:r>
              <w:rPr/>
              <w:t xml:space="preserve"> </w:t>
              <w:br/>
            </w:r>
            <w:r>
              <w:rPr>
                <w:spacing w:val="-2"/>
              </w:rPr>
              <w:t>Evan Leitner</w:t>
            </w:r>
            <w:r>
              <w:rPr/>
              <w:t xml:space="preserve"> </w:t>
              <w:br/>
            </w:r>
            <w:r>
              <w:rPr>
                <w:spacing w:val="-2"/>
              </w:rPr>
              <w:t>Divakar Gupta</w:t>
            </w:r>
            <w:r>
              <w:rPr/>
              <w:t xml:space="preserve"> </w:t>
              <w:br/>
            </w:r>
            <w:r>
              <w:rPr>
                <w:spacing w:val="-2"/>
              </w:rPr>
              <w:t>Richard Segal</w:t>
            </w:r>
            <w:r>
              <w:rPr/>
              <w:t xml:space="preserve"> </w:t>
              <w:br/>
            </w:r>
            <w:r>
              <w:rPr>
                <w:spacing w:val="-2"/>
              </w:rPr>
              <w:t>Cooley LLP</w:t>
            </w:r>
            <w:r>
              <w:rPr/>
              <w:t xml:space="preserve"> </w:t>
              <w:br/>
            </w:r>
            <w:r>
              <w:rPr>
                <w:spacing w:val="-2"/>
              </w:rPr>
              <w:t>1299 Pennsylvania Avenue, NW, Suite 700</w:t>
            </w:r>
            <w:r>
              <w:rPr/>
              <w:t xml:space="preserve"> </w:t>
              <w:br/>
            </w:r>
            <w:r>
              <w:rPr>
                <w:spacing w:val="-2"/>
              </w:rPr>
              <w:t>Washington, DC 20004</w:t>
            </w:r>
            <w:r>
              <w:rPr/>
              <w:t xml:space="preserve"> </w:t>
              <w:br/>
            </w:r>
            <w:r>
              <w:rPr>
                <w:spacing w:val="-2"/>
              </w:rPr>
              <w:t>(202) 842-7800</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14"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i w:val="false"/>
          <w:caps w:val="false"/>
          <w:smallCaps w:val="false"/>
          <w:color w:val="000000"/>
          <w:spacing w:val="-2"/>
          <w:sz w:val="17"/>
        </w:rPr>
        <w:t>Approximate date of commencement of proposed sale to the public:</w:t>
      </w:r>
      <w:r>
        <w:rPr>
          <w:rFonts w:ascii="Helvetica;Arial;sans-serif" w:hAnsi="Helvetica;Arial;sans-serif"/>
          <w:b w:val="false"/>
          <w:i w:val="false"/>
          <w:caps w:val="false"/>
          <w:smallCaps w:val="false"/>
          <w:color w:val="000000"/>
          <w:spacing w:val="-2"/>
          <w:sz w:val="17"/>
        </w:rPr>
        <w:t>   As soon as practicable after this registration statement becomes effective.</w:t>
      </w:r>
      <w:r>
        <w:rPr>
          <w:rFonts w:ascii="Helvetica;Arial;sans-serif" w:hAnsi="Helvetica;Arial;sans-serif"/>
          <w:b w:val="false"/>
          <w:i w:val="false"/>
          <w:caps w:val="false"/>
          <w:smallCaps w:val="false"/>
          <w:color w:val="000000"/>
          <w:spacing w:val="3"/>
          <w:sz w:val="17"/>
        </w:rPr>
        <w:t xml:space="preserve"> </w:t>
      </w:r>
    </w:p>
    <w:p>
      <w:pPr>
        <w:pStyle w:val="TextBody"/>
        <w:bidi w:val="0"/>
        <w:spacing w:lineRule="atLeast" w:line="170" w:before="80"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val="false"/>
          <w:i w:val="false"/>
          <w:caps w:val="false"/>
          <w:smallCaps w:val="false"/>
          <w:color w:val="000000"/>
          <w:spacing w:val="-2"/>
          <w:sz w:val="17"/>
        </w:rPr>
        <w:t>If any of the securities being registered on this Form are to be offered on a delayed or continuous basis pursuant to Rule 415 under the Securities Act of 1933 check the following box: ☐</w:t>
      </w:r>
      <w:r>
        <w:rPr>
          <w:rFonts w:ascii="Helvetica;Arial;sans-serif" w:hAnsi="Helvetica;Arial;sans-serif"/>
          <w:b w:val="false"/>
          <w:i w:val="false"/>
          <w:caps w:val="false"/>
          <w:smallCaps w:val="false"/>
          <w:color w:val="000000"/>
          <w:spacing w:val="3"/>
          <w:sz w:val="17"/>
        </w:rPr>
        <w:t xml:space="preserve"> </w:t>
      </w:r>
    </w:p>
    <w:p>
      <w:pPr>
        <w:pStyle w:val="TextBody"/>
        <w:bidi w:val="0"/>
        <w:spacing w:lineRule="atLeast" w:line="170" w:before="80"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val="false"/>
          <w:i w:val="false"/>
          <w:caps w:val="false"/>
          <w:smallCaps w:val="false"/>
          <w:color w:val="000000"/>
          <w:spacing w:val="-2"/>
          <w:sz w:val="17"/>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Helvetica;Arial;sans-serif" w:hAnsi="Helvetica;Arial;sans-serif"/>
          <w:b w:val="false"/>
          <w:i w:val="false"/>
          <w:caps w:val="false"/>
          <w:smallCaps w:val="false"/>
          <w:color w:val="000000"/>
          <w:spacing w:val="3"/>
          <w:sz w:val="17"/>
        </w:rPr>
        <w:t xml:space="preserve"> </w:t>
      </w:r>
    </w:p>
    <w:p>
      <w:pPr>
        <w:pStyle w:val="TextBody"/>
        <w:bidi w:val="0"/>
        <w:spacing w:lineRule="atLeast" w:line="170" w:before="80"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val="false"/>
          <w:i w:val="false"/>
          <w:caps w:val="false"/>
          <w:smallCaps w:val="false"/>
          <w:color w:val="000000"/>
          <w:spacing w:val="-2"/>
          <w:sz w:val="17"/>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Helvetica;Arial;sans-serif" w:hAnsi="Helvetica;Arial;sans-serif"/>
          <w:b w:val="false"/>
          <w:i w:val="false"/>
          <w:caps w:val="false"/>
          <w:smallCaps w:val="false"/>
          <w:color w:val="000000"/>
          <w:spacing w:val="3"/>
          <w:sz w:val="17"/>
        </w:rPr>
        <w:t xml:space="preserve"> </w:t>
      </w:r>
    </w:p>
    <w:p>
      <w:pPr>
        <w:pStyle w:val="TextBody"/>
        <w:bidi w:val="0"/>
        <w:spacing w:lineRule="atLeast" w:line="170" w:before="80"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val="false"/>
          <w:i w:val="false"/>
          <w:caps w:val="false"/>
          <w:smallCaps w:val="false"/>
          <w:color w:val="000000"/>
          <w:spacing w:val="-2"/>
          <w:sz w:val="17"/>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Helvetica;Arial;sans-serif" w:hAnsi="Helvetica;Arial;sans-serif"/>
          <w:b w:val="false"/>
          <w:i w:val="false"/>
          <w:caps w:val="false"/>
          <w:smallCaps w:val="false"/>
          <w:color w:val="000000"/>
          <w:spacing w:val="3"/>
          <w:sz w:val="17"/>
        </w:rPr>
        <w:t xml:space="preserve"> </w:t>
      </w:r>
    </w:p>
    <w:p>
      <w:pPr>
        <w:pStyle w:val="TextBody"/>
        <w:bidi w:val="0"/>
        <w:spacing w:lineRule="atLeast" w:line="170" w:before="80"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val="false"/>
          <w:i w:val="false"/>
          <w:caps w:val="false"/>
          <w:smallCaps w:val="false"/>
          <w:color w:val="000000"/>
          <w:spacing w:val="-2"/>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Helvetica;Arial;sans-serif" w:hAnsi="Helvetica;Arial;sans-serif"/>
          <w:b w:val="false"/>
          <w:i w:val="false"/>
          <w:caps w:val="false"/>
          <w:smallCaps w:val="false"/>
          <w:color w:val="000000"/>
          <w:spacing w:val="3"/>
          <w:sz w:val="17"/>
        </w:rPr>
        <w:t xml:space="preserve"> </w:t>
      </w:r>
    </w:p>
    <w:tbl>
      <w:tblPr>
        <w:tblW w:w="6639" w:type="dxa"/>
        <w:jc w:val="left"/>
        <w:tblInd w:w="540" w:type="dxa"/>
        <w:tblLayout w:type="fixed"/>
        <w:tblCellMar>
          <w:top w:w="0" w:type="dxa"/>
          <w:left w:w="0" w:type="dxa"/>
          <w:bottom w:w="0" w:type="dxa"/>
          <w:right w:w="0" w:type="dxa"/>
        </w:tblCellMar>
      </w:tblPr>
      <w:tblGrid>
        <w:gridCol w:w="124"/>
        <w:gridCol w:w="2230"/>
        <w:gridCol w:w="109"/>
        <w:gridCol w:w="109"/>
        <w:gridCol w:w="376"/>
        <w:gridCol w:w="109"/>
        <w:gridCol w:w="109"/>
        <w:gridCol w:w="2725"/>
        <w:gridCol w:w="109"/>
        <w:gridCol w:w="109"/>
        <w:gridCol w:w="376"/>
        <w:gridCol w:w="154"/>
      </w:tblGrid>
      <w:tr>
        <w:trPr/>
        <w:tc>
          <w:tcPr>
            <w:tcW w:w="124" w:type="dxa"/>
            <w:tcBorders/>
            <w:vAlign w:val="center"/>
          </w:tcPr>
          <w:p>
            <w:pPr>
              <w:pStyle w:val="TableContents"/>
              <w:bidi w:val="0"/>
              <w:spacing w:before="0" w:after="283"/>
              <w:jc w:val="left"/>
              <w:rPr/>
            </w:pPr>
            <w:r>
              <w:rPr/>
              <w:t>​</w:t>
            </w:r>
          </w:p>
        </w:tc>
        <w:tc>
          <w:tcPr>
            <w:tcW w:w="2230" w:type="dxa"/>
            <w:tcBorders/>
            <w:vAlign w:val="center"/>
          </w:tcPr>
          <w:p>
            <w:pPr>
              <w:pStyle w:val="TableContents"/>
              <w:bidi w:val="0"/>
              <w:spacing w:before="0" w:after="0"/>
              <w:jc w:val="left"/>
              <w:rPr>
                <w:spacing w:val="-2"/>
              </w:rPr>
            </w:pPr>
            <w:r>
              <w:rPr>
                <w:spacing w:val="-2"/>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5" w:type="dxa"/>
            <w:tcBorders/>
            <w:vAlign w:val="center"/>
          </w:tcPr>
          <w:p>
            <w:pPr>
              <w:pStyle w:val="TableContents"/>
              <w:bidi w:val="0"/>
              <w:spacing w:before="0" w:after="283"/>
              <w:jc w:val="left"/>
              <w:rPr>
                <w:spacing w:val="-2"/>
              </w:rPr>
            </w:pPr>
            <w:r>
              <w:rPr>
                <w:spacing w:val="-2"/>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2"/>
              </w:rPr>
            </w:pPr>
            <w:r>
              <w:rPr>
                <w:spacing w:val="-2"/>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30" w:type="dxa"/>
            <w:tcBorders/>
            <w:vAlign w:val="center"/>
          </w:tcPr>
          <w:p>
            <w:pPr>
              <w:pStyle w:val="TableContents"/>
              <w:bidi w:val="0"/>
              <w:spacing w:before="0" w:after="0"/>
              <w:jc w:val="left"/>
              <w:rPr>
                <w:spacing w:val="-2"/>
              </w:rPr>
            </w:pPr>
            <w:r>
              <w:rPr>
                <w:spacing w:val="-2"/>
              </w:rPr>
              <w:t xml:space="preserve">Non-accelerated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5" w:type="dxa"/>
            <w:tcBorders/>
            <w:vAlign w:val="center"/>
          </w:tcPr>
          <w:p>
            <w:pPr>
              <w:pStyle w:val="TableContents"/>
              <w:bidi w:val="0"/>
              <w:spacing w:before="0" w:after="0"/>
              <w:jc w:val="left"/>
              <w:rPr>
                <w:spacing w:val="-2"/>
              </w:rPr>
            </w:pPr>
            <w:r>
              <w:rPr>
                <w:spacing w:val="-2"/>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2"/>
              </w:rPr>
            </w:pPr>
            <w:r>
              <w:rPr>
                <w:spacing w:val="-2"/>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25" w:type="dxa"/>
            <w:tcBorders/>
            <w:vAlign w:val="center"/>
          </w:tcPr>
          <w:p>
            <w:pPr>
              <w:pStyle w:val="TableContents"/>
              <w:bidi w:val="0"/>
              <w:spacing w:before="0" w:after="0"/>
              <w:jc w:val="left"/>
              <w:rPr>
                <w:spacing w:val="-2"/>
              </w:rPr>
            </w:pPr>
            <w:r>
              <w:rPr>
                <w:spacing w:val="-2"/>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2"/>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70" w:before="238" w:after="283"/>
        <w:ind w:left="540" w:right="0" w:firstLine="400"/>
        <w:jc w:val="left"/>
        <w:rPr>
          <w:rFonts w:ascii="Helvetica;Arial;sans-serif" w:hAnsi="Helvetica;Arial;sans-serif"/>
          <w:b w:val="false"/>
          <w:i w:val="false"/>
          <w:caps w:val="false"/>
          <w:smallCaps w:val="false"/>
          <w:color w:val="000000"/>
          <w:sz w:val="17"/>
        </w:rPr>
      </w:pPr>
      <w:r>
        <w:rPr>
          <w:rFonts w:ascii="Helvetica;Arial;sans-serif" w:hAnsi="Helvetica;Arial;sans-serif"/>
          <w:b w:val="false"/>
          <w:i w:val="false"/>
          <w:caps w:val="false"/>
          <w:smallCaps w:val="false"/>
          <w:color w:val="000000"/>
          <w:spacing w:val="-2"/>
          <w:sz w:val="17"/>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Helvetica;Arial;sans-serif" w:hAnsi="Helvetica;Arial;sans-serif"/>
          <w:b w:val="false"/>
          <w:i w:val="false"/>
          <w:caps w:val="false"/>
          <w:smallCaps w:val="false"/>
          <w:color w:val="000000"/>
          <w:spacing w:val="3"/>
          <w:sz w:val="17"/>
        </w:rPr>
        <w:t xml:space="preserve"> </w:t>
      </w:r>
    </w:p>
    <w:p>
      <w:pPr>
        <w:pStyle w:val="TextBody"/>
        <w:bidi w:val="0"/>
        <w:spacing w:before="11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14" w:after="283"/>
        <w:ind w:left="540" w:right="0" w:firstLine="400"/>
        <w:jc w:val="left"/>
        <w:rPr>
          <w:rFonts w:ascii="Helvetica;Arial;sans-serif" w:hAnsi="Helvetica;Arial;sans-serif"/>
          <w:b/>
          <w:i w:val="false"/>
          <w:caps w:val="false"/>
          <w:smallCaps w:val="false"/>
          <w:color w:val="000000"/>
          <w:sz w:val="17"/>
        </w:rPr>
      </w:pPr>
      <w:r>
        <w:rPr>
          <w:rFonts w:ascii="Helvetica;Arial;sans-serif" w:hAnsi="Helvetica;Arial;sans-serif"/>
          <w:b/>
          <w:i w:val="false"/>
          <w:caps w:val="false"/>
          <w:smallCaps w:val="false"/>
          <w:color w:val="000000"/>
          <w:spacing w:val="-2"/>
          <w:sz w:val="17"/>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r>
        <w:rPr>
          <w:rFonts w:ascii="Helvetica;Arial;sans-serif" w:hAnsi="Helvetica;Arial;sans-serif"/>
          <w:b/>
          <w:i w:val="false"/>
          <w:caps w:val="false"/>
          <w:smallCaps w:val="false"/>
          <w:color w:val="000000"/>
          <w:spacing w:val="3"/>
          <w:sz w:val="17"/>
        </w:rPr>
        <w:t xml:space="preserve"> </w:t>
      </w:r>
    </w:p>
    <w:p>
      <w:pPr>
        <w:pStyle w:val="TextBody"/>
        <w:bidi w:val="0"/>
        <w:spacing w:before="107"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Helvetica;Arial;sans-serif" w:hAnsi="Helvetica;Arial;sans-serif"/>
          <w:b w:val="false"/>
          <w:i w:val="false"/>
          <w:caps w:val="false"/>
          <w:smallCaps w:val="false"/>
          <w:color w:val="EA5B4E"/>
          <w:sz w:val="20"/>
        </w:rPr>
      </w:pPr>
      <w:r>
        <w:rPr>
          <w:rFonts w:ascii="Helvetica;Arial;sans-serif" w:hAnsi="Helvetica;Arial;sans-serif"/>
          <w:b w:val="false"/>
          <w:i w:val="false"/>
          <w:caps w:val="false"/>
          <w:smallCaps w:val="false"/>
          <w:color w:val="EA5B4E"/>
          <w:spacing w:val="-2"/>
          <w:sz w:val="20"/>
        </w:rPr>
        <w:t>Subject to Completion. Dated        ,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320" w:before="240" w:after="283"/>
        <w:jc w:val="center"/>
        <w:rPr>
          <w:caps w:val="false"/>
          <w:smallCaps w:val="false"/>
          <w:color w:val="000000"/>
        </w:rPr>
      </w:pPr>
      <w:r>
        <w:rPr>
          <w:caps w:val="false"/>
          <w:smallCaps w:val="false"/>
          <w:color w:val="000000"/>
          <w:spacing w:val="-3"/>
        </w:rPr>
        <w:t>                 </w:t>
      </w:r>
      <w:r>
        <w:rPr>
          <w:rFonts w:ascii="Helvetica;Arial;sans-serif" w:hAnsi="Helvetica;Arial;sans-serif"/>
          <w:b w:val="false"/>
          <w:i w:val="false"/>
          <w:caps w:val="false"/>
          <w:smallCaps w:val="false"/>
          <w:color w:val="000000"/>
          <w:spacing w:val="-3"/>
          <w:sz w:val="28"/>
        </w:rPr>
        <w:t>Shares</w:t>
      </w:r>
      <w:r>
        <w:rPr>
          <w:rFonts w:ascii="Helvetica;Arial;sans-serif" w:hAnsi="Helvetica;Arial;sans-serif"/>
          <w:b w:val="false"/>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552700" cy="16097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552700" cy="16097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56" w:after="283"/>
        <w:jc w:val="center"/>
        <w:rPr>
          <w:rFonts w:ascii="Helvetica;Arial;sans-serif" w:hAnsi="Helvetica;Arial;sans-serif"/>
          <w:b w:val="false"/>
          <w:i w:val="false"/>
          <w:caps w:val="false"/>
          <w:smallCaps w:val="false"/>
          <w:color w:val="000000"/>
          <w:sz w:val="28"/>
        </w:rPr>
      </w:pPr>
      <w:r>
        <w:rPr>
          <w:rFonts w:ascii="Helvetica;Arial;sans-serif" w:hAnsi="Helvetica;Arial;sans-serif"/>
          <w:b w:val="false"/>
          <w:i w:val="false"/>
          <w:caps w:val="false"/>
          <w:smallCaps w:val="false"/>
          <w:color w:val="000000"/>
          <w:spacing w:val="-3"/>
          <w:sz w:val="28"/>
        </w:rPr>
        <w:t>Common Stock</w:t>
      </w:r>
      <w:r>
        <w:rPr>
          <w:rFonts w:ascii="Helvetica;Arial;sans-serif" w:hAnsi="Helvetica;Arial;sans-serif"/>
          <w:b w:val="false"/>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38" w:after="283"/>
        <w:ind w:left="175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is an initial public offering of shares of common stock of City Therapeutics, Inc. We are offering shares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this offering, there has been no public market for our common stock. It is currently estimated that the initial public offering price per share will be between $      and $      . We intend to apply to list our common stock on the Nasdaq Global Market under the symbol “CTY.” We believe that upon the completion of this offering, we will meet the standards for listing on Nasdaq, and the completion of this offering is contingent upon such listing.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an “emerging growth company” and a “smaller reporting company” as defined under the U.S. federal securities laws and, as such, we have elected to comply with certain reduced reporting requirements in this prospectus. For additional information, see the section titled “</w:t>
      </w:r>
      <w:r>
        <w:rPr>
          <w:rFonts w:ascii="Helvetica;Arial;sans-serif" w:hAnsi="Helvetica;Arial;sans-serif"/>
          <w:b w:val="false"/>
          <w:i/>
          <w:caps w:val="false"/>
          <w:smallCaps w:val="false"/>
          <w:color w:val="000000"/>
          <w:spacing w:val="-2"/>
          <w:sz w:val="20"/>
        </w:rPr>
        <w:t>Prospectus Summary — Implications of Being an Emerging Growth Company and a Smaller Reporting Company</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pPr>
      <w:r>
        <w:rPr>
          <w:rFonts w:ascii="Helvetica;Arial;sans-serif" w:hAnsi="Helvetica;Arial;sans-serif"/>
          <w:b/>
          <w:i w:val="false"/>
          <w:caps w:val="false"/>
          <w:smallCaps w:val="false"/>
          <w:color w:val="000000"/>
          <w:spacing w:val="-2"/>
          <w:sz w:val="20"/>
        </w:rPr>
        <w:t>See the section titled “</w:t>
      </w:r>
      <w:r>
        <w:rPr>
          <w:rFonts w:ascii="Helvetica;Arial;sans-serif" w:hAnsi="Helvetica;Arial;sans-serif"/>
          <w:b/>
          <w:i/>
          <w:caps w:val="false"/>
          <w:smallCaps w:val="false"/>
          <w:color w:val="000000"/>
          <w:spacing w:val="-2"/>
          <w:sz w:val="20"/>
        </w:rPr>
        <w:t>Risk Factors</w:t>
      </w:r>
      <w:r>
        <w:rPr>
          <w:rFonts w:ascii="Helvetica;Arial;sans-serif" w:hAnsi="Helvetica;Arial;sans-serif"/>
          <w:b/>
          <w:i w:val="false"/>
          <w:caps w:val="false"/>
          <w:smallCaps w:val="false"/>
          <w:color w:val="000000"/>
          <w:spacing w:val="-2"/>
          <w:sz w:val="20"/>
        </w:rPr>
        <w:t xml:space="preserve">” beginning on page </w:t>
      </w:r>
      <w:hyperlink w:anchor="tRIFA">
        <w:r>
          <w:rPr>
            <w:rStyle w:val="InternetLink"/>
          </w:rPr>
          <w:t>12</w:t>
        </w:r>
      </w:hyperlink>
      <w:r>
        <w:rPr>
          <w:rFonts w:ascii="Helvetica;Arial;sans-serif" w:hAnsi="Helvetica;Arial;sans-serif"/>
          <w:b/>
          <w:i w:val="false"/>
          <w:caps w:val="false"/>
          <w:smallCaps w:val="false"/>
          <w:color w:val="000000"/>
          <w:spacing w:val="-2"/>
          <w:sz w:val="20"/>
        </w:rPr>
        <w:t xml:space="preserve"> to read about factors that you should consider before deciding to invest in shares of our common stock.</w:t>
      </w:r>
      <w:r>
        <w:rPr>
          <w:rFonts w:ascii="Helvetica;Arial;sans-serif" w:hAnsi="Helvetica;Arial;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38" w:after="283"/>
        <w:ind w:left="1753" w:right="0" w:firstLine="40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Helvetica;Arial;sans-serif" w:hAnsi="Helvetica;Arial;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7679" w:type="dxa"/>
        <w:jc w:val="left"/>
        <w:tblInd w:w="1753" w:type="dxa"/>
        <w:tblLayout w:type="fixed"/>
        <w:tblCellMar>
          <w:top w:w="0" w:type="dxa"/>
          <w:left w:w="0" w:type="dxa"/>
          <w:bottom w:w="28" w:type="dxa"/>
          <w:right w:w="0" w:type="dxa"/>
        </w:tblCellMar>
      </w:tblPr>
      <w:tblGrid>
        <w:gridCol w:w="5111"/>
        <w:gridCol w:w="109"/>
        <w:gridCol w:w="109"/>
        <w:gridCol w:w="128"/>
        <w:gridCol w:w="265"/>
        <w:gridCol w:w="547"/>
        <w:gridCol w:w="128"/>
        <w:gridCol w:w="109"/>
        <w:gridCol w:w="109"/>
        <w:gridCol w:w="109"/>
        <w:gridCol w:w="226"/>
        <w:gridCol w:w="466"/>
        <w:gridCol w:w="109"/>
        <w:gridCol w:w="154"/>
      </w:tblGrid>
      <w:tr>
        <w:trPr/>
        <w:tc>
          <w:tcPr>
            <w:tcW w:w="5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11" w:type="dxa"/>
            <w:tcBorders/>
            <w:shd w:fill="CCEEFF" w:val="clear"/>
            <w:tcMar>
              <w:bottom w:w="0" w:type="dxa"/>
            </w:tcMar>
            <w:vAlign w:val="center"/>
          </w:tcPr>
          <w:p>
            <w:pPr>
              <w:pStyle w:val="TableContents"/>
              <w:bidi w:val="0"/>
              <w:spacing w:before="0" w:after="0"/>
              <w:jc w:val="left"/>
              <w:rPr>
                <w:spacing w:val="-2"/>
              </w:rPr>
            </w:pPr>
            <w:r>
              <w:rPr>
                <w:spacing w:val="-2"/>
              </w:rPr>
              <w:t xml:space="preserve">Initial 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547" w:type="dxa"/>
            <w:tcBorders/>
            <w:shd w:fill="CCEEFF" w:val="clear"/>
            <w:tcMar>
              <w:bottom w:w="0" w:type="dxa"/>
            </w:tcMar>
            <w:vAlign w:val="center"/>
          </w:tcPr>
          <w:p>
            <w:pPr>
              <w:pStyle w:val="TableContents"/>
              <w:bidi w:val="0"/>
              <w:spacing w:before="0" w:after="283"/>
              <w:jc w:val="right"/>
              <w:rPr/>
            </w:pPr>
            <w:r>
              <w:rPr/>
              <w:t>   </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11" w:type="dxa"/>
            <w:tcBorders/>
            <w:tcMar>
              <w:bottom w:w="0" w:type="dxa"/>
            </w:tcMar>
            <w:vAlign w:val="center"/>
          </w:tcPr>
          <w:p>
            <w:pPr>
              <w:pStyle w:val="TableContents"/>
              <w:bidi w:val="0"/>
              <w:spacing w:before="0" w:after="0"/>
              <w:jc w:val="left"/>
              <w:rPr/>
            </w:pPr>
            <w:r>
              <w:rPr>
                <w:spacing w:val="-2"/>
              </w:rPr>
              <w:t>Underwriting discounts and commissions</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547" w:type="dxa"/>
            <w:tcBorders/>
            <w:tcMar>
              <w:bottom w:w="0" w:type="dxa"/>
            </w:tcMar>
            <w:vAlign w:val="center"/>
          </w:tcPr>
          <w:p>
            <w:pPr>
              <w:pStyle w:val="TableContents"/>
              <w:bidi w:val="0"/>
              <w:spacing w:before="0" w:after="283"/>
              <w:jc w:val="left"/>
              <w:rPr>
                <w:sz w:val="4"/>
                <w:szCs w:val="4"/>
              </w:rPr>
            </w:pPr>
            <w:r>
              <w:rPr>
                <w:sz w:val="4"/>
                <w:szCs w:val="4"/>
              </w:rPr>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11" w:type="dxa"/>
            <w:tcBorders/>
            <w:shd w:fill="CCEEFF" w:val="clear"/>
            <w:tcMar>
              <w:bottom w:w="0" w:type="dxa"/>
            </w:tcMar>
            <w:vAlign w:val="center"/>
          </w:tcPr>
          <w:p>
            <w:pPr>
              <w:pStyle w:val="TableContents"/>
              <w:bidi w:val="0"/>
              <w:spacing w:before="0" w:after="0"/>
              <w:jc w:val="left"/>
              <w:rPr>
                <w:spacing w:val="-2"/>
              </w:rPr>
            </w:pPr>
            <w:r>
              <w:rPr>
                <w:spacing w:val="-2"/>
              </w:rPr>
              <w:t xml:space="preserve">Proceeds, before expenses, to City Therapeutics,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54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5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8" w:after="0"/>
        <w:ind w:left="215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See the section titled “</w:t>
      </w:r>
      <w:r>
        <w:rPr>
          <w:rFonts w:ascii="Helvetica;Arial;sans-serif" w:hAnsi="Helvetica;Arial;sans-serif"/>
          <w:b w:val="false"/>
          <w:i/>
          <w:caps w:val="false"/>
          <w:smallCaps w:val="false"/>
          <w:color w:val="000000"/>
          <w:spacing w:val="-2"/>
          <w:sz w:val="16"/>
        </w:rPr>
        <w:t>Underwriting</w:t>
      </w:r>
      <w:r>
        <w:rPr>
          <w:rFonts w:ascii="Helvetica;Arial;sans-serif" w:hAnsi="Helvetica;Arial;sans-serif"/>
          <w:b w:val="false"/>
          <w:i w:val="false"/>
          <w:caps w:val="false"/>
          <w:smallCaps w:val="false"/>
          <w:color w:val="000000"/>
          <w:spacing w:val="-2"/>
          <w:sz w:val="16"/>
        </w:rPr>
        <w:t>” for additional information regarding compensation payable to the underwriters.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7630" distB="0" distL="0" distR="0" simplePos="0" locked="0" layoutInCell="1" allowOverlap="1" relativeHeight="26">
                <wp:simplePos x="0" y="0"/>
                <wp:positionH relativeFrom="column">
                  <wp:align>left</wp:align>
                </wp:positionH>
                <wp:positionV relativeFrom="line">
                  <wp:align>top</wp:align>
                </wp:positionV>
                <wp:extent cx="254000" cy="233680"/>
                <wp:effectExtent l="0" t="0" r="0" b="0"/>
                <wp:wrapSquare wrapText="right"/>
                <wp:docPr id="3" name="Frame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5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granted the underwriters the option to purchase up to an additional       shares of common stock from us, at the initial public offering price, less the underwriting discounts and commissions.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215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underwriters expect to deliver the shares against payment on or about        , 2026.</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5070" w:type="dxa"/>
        <w:jc w:val="left"/>
        <w:tblInd w:w="1753" w:type="dxa"/>
        <w:tblLayout w:type="fixed"/>
        <w:tblCellMar>
          <w:top w:w="0" w:type="dxa"/>
          <w:left w:w="0" w:type="dxa"/>
          <w:bottom w:w="0" w:type="dxa"/>
          <w:right w:w="0" w:type="dxa"/>
        </w:tblCellMar>
      </w:tblPr>
      <w:tblGrid>
        <w:gridCol w:w="124"/>
        <w:gridCol w:w="2788"/>
        <w:gridCol w:w="109"/>
        <w:gridCol w:w="109"/>
        <w:gridCol w:w="922"/>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2788" w:type="dxa"/>
            <w:tcBorders/>
            <w:vAlign w:val="center"/>
          </w:tcPr>
          <w:p>
            <w:pPr>
              <w:pStyle w:val="TableContents"/>
              <w:bidi w:val="0"/>
              <w:spacing w:before="0" w:after="283"/>
              <w:jc w:val="left"/>
              <w:rPr>
                <w:spacing w:val="-3"/>
              </w:rPr>
            </w:pPr>
            <w:r>
              <w:rPr>
                <w:spacing w:val="-3"/>
              </w:rPr>
              <w:t xml:space="preserve">Goldman Sachs &amp; Co. LLC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0"/>
              <w:jc w:val="center"/>
              <w:rPr>
                <w:spacing w:val="-3"/>
              </w:rPr>
            </w:pPr>
            <w:r>
              <w:rPr>
                <w:spacing w:val="-3"/>
              </w:rPr>
              <w:t xml:space="preserve">Jefferies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right"/>
              <w:rPr/>
            </w:pPr>
            <w:r>
              <w:rPr>
                <w:spacing w:val="-3"/>
              </w:rPr>
              <w:t>Stifel</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92" w:type="dxa"/>
            <w:gridSpan w:val="7"/>
            <w:tcBorders/>
            <w:vAlign w:val="center"/>
          </w:tcPr>
          <w:p>
            <w:pPr>
              <w:pStyle w:val="TableContents"/>
              <w:bidi w:val="0"/>
              <w:spacing w:before="0" w:after="0"/>
              <w:jc w:val="center"/>
              <w:rPr/>
            </w:pPr>
            <w:r>
              <w:rPr>
                <w:spacing w:val="-3"/>
              </w:rPr>
              <w:t>Oppenheimer &amp; Co.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753"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Prospectus dated        , 2026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048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EXPLANATORY NOTE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applicable provisions of the Fixing America’s Surface Transportation Act, we are omitting our unaudited interim consolidated financial statements as of and for the three months ended March 31, 2025 and 2026. While this financial information is otherwise required by Regulation S-X, we reasonably believe that it will not be required to be included in the prospectus at the time of the contemplated offering. We intend to amend the registration statement to include all financial information required by Regulation S-X at the date of such amendment before distributing a preliminary prospectus to investors.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TABLE OF CONTENTS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19"/>
        <w:gridCol w:w="109"/>
        <w:gridCol w:w="109"/>
        <w:gridCol w:w="109"/>
        <w:gridCol w:w="109"/>
        <w:gridCol w:w="493"/>
        <w:gridCol w:w="109"/>
        <w:gridCol w:w="155"/>
      </w:tblGrid>
      <w:tr>
        <w:trPr/>
        <w:tc>
          <w:tcPr>
            <w:tcW w:w="76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PRSU">
              <w:r>
                <w:rPr>
                  <w:rStyle w:val="InternetLink"/>
                  <w:spacing w:val="-2"/>
                </w:rPr>
                <w:t xml:space="preserve">PROSPECTUS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PRSU">
              <w:r>
                <w:rPr>
                  <w:rStyle w:val="InternetLink"/>
                  <w:spacing w:val="-2"/>
                </w:rPr>
                <w:t>1</w:t>
              </w:r>
            </w:hyperlink>
            <w:hyperlink w:anchor="tPR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RIFA">
              <w:r>
                <w:rPr>
                  <w:rStyle w:val="InternetLink"/>
                  <w:spacing w:val="-2"/>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RIFA">
              <w:r>
                <w:rPr>
                  <w:rStyle w:val="InternetLink"/>
                  <w:spacing w:val="-2"/>
                </w:rPr>
                <w:t>12</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CNRF">
              <w:r>
                <w:rPr>
                  <w:rStyle w:val="InternetLink"/>
                  <w:spacing w:val="-2"/>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CNRF">
              <w:r>
                <w:rPr>
                  <w:rStyle w:val="InternetLink"/>
                  <w:spacing w:val="-2"/>
                </w:rPr>
                <w:t>92</w:t>
              </w:r>
            </w:hyperlink>
            <w:hyperlink w:anchor="tC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UOP">
              <w:r>
                <w:rPr>
                  <w:rStyle w:val="InternetLink"/>
                  <w:spacing w:val="-2"/>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UOP">
              <w:r>
                <w:rPr>
                  <w:rStyle w:val="InternetLink"/>
                  <w:spacing w:val="-2"/>
                </w:rPr>
                <w:t>94</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DIPO">
              <w:r>
                <w:rPr>
                  <w:rStyle w:val="InternetLink"/>
                  <w:spacing w:val="-2"/>
                </w:rPr>
                <w:t xml:space="preserve">DIVIDEND POLICY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DIPO">
              <w:r>
                <w:rPr>
                  <w:rStyle w:val="InternetLink"/>
                  <w:spacing w:val="-2"/>
                </w:rPr>
                <w:t>96</w:t>
              </w:r>
            </w:hyperlink>
            <w:hyperlink w:anchor="tDIP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CAP">
              <w:r>
                <w:rPr>
                  <w:rStyle w:val="InternetLink"/>
                  <w:spacing w:val="-2"/>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CAP">
              <w:r>
                <w:rPr>
                  <w:rStyle w:val="InternetLink"/>
                  <w:spacing w:val="-2"/>
                </w:rPr>
                <w:t>97</w:t>
              </w:r>
            </w:hyperlink>
            <w:hyperlink w:anchor="t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DIL">
              <w:r>
                <w:rPr>
                  <w:rStyle w:val="InternetLink"/>
                  <w:spacing w:val="-2"/>
                </w:rPr>
                <w:t xml:space="preserve">DILUTION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DIL">
              <w:r>
                <w:rPr>
                  <w:rStyle w:val="InternetLink"/>
                  <w:spacing w:val="-2"/>
                </w:rPr>
                <w:t>99</w:t>
              </w:r>
            </w:hyperlink>
            <w:hyperlink w:anchor="tDI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ind w:left="200" w:right="0" w:hanging="200"/>
              <w:jc w:val="left"/>
              <w:rPr/>
            </w:pPr>
            <w:hyperlink w:anchor="tMDAAO">
              <w:r>
                <w:rPr>
                  <w:rStyle w:val="InternetLink"/>
                  <w:spacing w:val="-2"/>
                </w:rPr>
                <w:t xml:space="preserve">MANAGEMENT’S DISCUSSION AND ANALYSIS OF FINANCIAL CONDITION AND RESULTS OF OPERATIONS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MDAAO">
              <w:r>
                <w:rPr>
                  <w:rStyle w:val="InternetLink"/>
                  <w:spacing w:val="-2"/>
                </w:rPr>
                <w:t>102</w:t>
              </w:r>
            </w:hyperlink>
            <w:hyperlink w:anchor="tMDA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BUS">
              <w:r>
                <w:rPr>
                  <w:rStyle w:val="InternetLink"/>
                  <w:spacing w:val="-2"/>
                </w:rPr>
                <w:t xml:space="preserve">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BUS">
              <w:r>
                <w:rPr>
                  <w:rStyle w:val="InternetLink"/>
                  <w:spacing w:val="-2"/>
                </w:rPr>
                <w:t>118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MAN">
              <w:r>
                <w:rPr>
                  <w:rStyle w:val="InternetLink"/>
                  <w:spacing w:val="-2"/>
                </w:rPr>
                <w:t xml:space="preserve">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MAN">
              <w:r>
                <w:rPr>
                  <w:rStyle w:val="InternetLink"/>
                  <w:spacing w:val="-2"/>
                </w:rPr>
                <w:t>176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EXCO">
              <w:r>
                <w:rPr>
                  <w:rStyle w:val="InternetLink"/>
                  <w:spacing w:val="-2"/>
                </w:rPr>
                <w:t xml:space="preserve">EXECUTIVE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EXCO">
              <w:r>
                <w:rPr>
                  <w:rStyle w:val="InternetLink"/>
                  <w:spacing w:val="-2"/>
                </w:rPr>
                <w:t>187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DICO">
              <w:r>
                <w:rPr>
                  <w:rStyle w:val="InternetLink"/>
                  <w:spacing w:val="-2"/>
                </w:rPr>
                <w:t xml:space="preserve">DIRECTOR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DICO">
              <w:r>
                <w:rPr>
                  <w:rStyle w:val="InternetLink"/>
                  <w:spacing w:val="-2"/>
                </w:rPr>
                <w:t>198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CRAR">
              <w:r>
                <w:rPr>
                  <w:rStyle w:val="InternetLink"/>
                  <w:spacing w:val="-2"/>
                </w:rPr>
                <w:t xml:space="preserve">CERTAIN RELATIONSHIPS AND RELATED PERSON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CRAR">
              <w:r>
                <w:rPr>
                  <w:rStyle w:val="InternetLink"/>
                  <w:spacing w:val="-2"/>
                </w:rPr>
                <w:t>200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PRST">
              <w:r>
                <w:rPr>
                  <w:rStyle w:val="InternetLink"/>
                  <w:spacing w:val="-2"/>
                </w:rPr>
                <w:t xml:space="preserve">PRINCIPAL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PRST">
              <w:r>
                <w:rPr>
                  <w:rStyle w:val="InternetLink"/>
                  <w:spacing w:val="-2"/>
                </w:rPr>
                <w:t>204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DOCS">
              <w:r>
                <w:rPr>
                  <w:rStyle w:val="InternetLink"/>
                  <w:spacing w:val="-2"/>
                </w:rPr>
                <w:t xml:space="preserve">DESCRIPTION OF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DOCS">
              <w:r>
                <w:rPr>
                  <w:rStyle w:val="InternetLink"/>
                  <w:spacing w:val="-2"/>
                </w:rPr>
                <w:t>206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SEFF">
              <w:r>
                <w:rPr>
                  <w:rStyle w:val="InternetLink"/>
                  <w:spacing w:val="-2"/>
                </w:rPr>
                <w:t xml:space="preserve">SHARES ELIGIBLE FOR FUTURE SALE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SEFF">
              <w:r>
                <w:rPr>
                  <w:rStyle w:val="InternetLink"/>
                  <w:spacing w:val="-2"/>
                </w:rPr>
                <w:t>212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MUFI">
              <w:r>
                <w:rPr>
                  <w:rStyle w:val="InternetLink"/>
                  <w:spacing w:val="-2"/>
                </w:rPr>
                <w:t xml:space="preserve">MATERIAL U.S. FEDERAL INCOME TAX CONSEQUENCES FOR NON-U.S.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MUFI">
              <w:r>
                <w:rPr>
                  <w:rStyle w:val="InternetLink"/>
                  <w:spacing w:val="-2"/>
                </w:rPr>
                <w:t>214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UND">
              <w:r>
                <w:rPr>
                  <w:rStyle w:val="InternetLink"/>
                  <w:spacing w:val="-2"/>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UND">
              <w:r>
                <w:rPr>
                  <w:rStyle w:val="InternetLink"/>
                  <w:spacing w:val="-2"/>
                </w:rPr>
                <w:t>218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LEMA">
              <w:r>
                <w:rPr>
                  <w:rStyle w:val="InternetLink"/>
                  <w:spacing w:val="-2"/>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LEMA">
              <w:r>
                <w:rPr>
                  <w:rStyle w:val="InternetLink"/>
                  <w:spacing w:val="-2"/>
                </w:rPr>
                <w:t>226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EXP">
              <w:r>
                <w:rPr>
                  <w:rStyle w:val="InternetLink"/>
                  <w:spacing w:val="-2"/>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EXP">
              <w:r>
                <w:rPr>
                  <w:rStyle w:val="InternetLink"/>
                  <w:spacing w:val="-2"/>
                </w:rPr>
                <w:t>226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9" w:type="dxa"/>
            <w:tcBorders/>
            <w:shd w:fill="CCEEFF" w:val="clear"/>
            <w:tcMar>
              <w:bottom w:w="0" w:type="dxa"/>
            </w:tcMar>
            <w:vAlign w:val="center"/>
          </w:tcPr>
          <w:p>
            <w:pPr>
              <w:pStyle w:val="TableContents"/>
              <w:bidi w:val="0"/>
              <w:spacing w:before="0" w:after="0"/>
              <w:jc w:val="left"/>
              <w:rPr/>
            </w:pPr>
            <w:hyperlink w:anchor="tWYCF">
              <w:r>
                <w:rPr>
                  <w:rStyle w:val="InternetLink"/>
                  <w:spacing w:val="-2"/>
                </w:rPr>
                <w:t xml:space="preserve">WHERE YOU CAN FIND 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3" w:type="dxa"/>
            <w:tcBorders/>
            <w:shd w:fill="CCEEFF" w:val="clear"/>
            <w:tcMar>
              <w:bottom w:w="0" w:type="dxa"/>
            </w:tcMar>
            <w:vAlign w:val="center"/>
          </w:tcPr>
          <w:p>
            <w:pPr>
              <w:pStyle w:val="TableContents"/>
              <w:bidi w:val="0"/>
              <w:spacing w:before="0" w:after="283"/>
              <w:jc w:val="right"/>
              <w:rPr/>
            </w:pPr>
            <w:hyperlink w:anchor="tWYCF">
              <w:r>
                <w:rPr>
                  <w:rStyle w:val="InternetLink"/>
                  <w:spacing w:val="-2"/>
                </w:rPr>
                <w:t>226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9" w:type="dxa"/>
            <w:tcBorders/>
            <w:tcMar>
              <w:bottom w:w="0" w:type="dxa"/>
            </w:tcMar>
            <w:vAlign w:val="center"/>
          </w:tcPr>
          <w:p>
            <w:pPr>
              <w:pStyle w:val="TableContents"/>
              <w:bidi w:val="0"/>
              <w:spacing w:before="0" w:after="0"/>
              <w:jc w:val="left"/>
              <w:rPr/>
            </w:pPr>
            <w:hyperlink w:anchor="tICFS">
              <w:r>
                <w:rPr>
                  <w:rStyle w:val="InternetLink"/>
                  <w:spacing w:val="-2"/>
                </w:rPr>
                <w:t xml:space="preserve">INDEX TO CONSOLIDATED FINANCIAL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3" w:type="dxa"/>
            <w:tcBorders/>
            <w:tcMar>
              <w:bottom w:w="0" w:type="dxa"/>
            </w:tcMar>
            <w:vAlign w:val="center"/>
          </w:tcPr>
          <w:p>
            <w:pPr>
              <w:pStyle w:val="TableContents"/>
              <w:bidi w:val="0"/>
              <w:spacing w:before="0" w:after="283"/>
              <w:jc w:val="right"/>
              <w:rPr/>
            </w:pPr>
            <w:hyperlink w:anchor="tICFS">
              <w:r>
                <w:rPr>
                  <w:rStyle w:val="InternetLink"/>
                  <w:spacing w:val="-2"/>
                </w:rPr>
                <w:t>F-1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58"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Neither we nor the underwriters have authorized anyone to provide you with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investors outside of the U.S., we have not, and the underwriters have not, done anything that would permit this offering or possession or distribution of this prospectus in any jurisdiction where action for that purpose is required, other than the U.S. Persons outside of the U.S. who come into possession of this prospectus must inform themselves about, and observe any restrictions relating to, the offering of the shares of our common stock and the distribution of this prospectus outside of the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own, have applied for or have rights to use one or more registered and common law trademarks, service marks and/or trade names in connection with our business in the U.S., which may be used throughout this prospectus. This prospectus also includes trademarks, trade names, and service marks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logos and trade names referred to in this prospectus may appear without the ®, TM or SM symbols, but the omission of such references is not intended to indicate, in any way, that we will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856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assert, to the fullest extent under applicable law, our rights, or the rights of the applicable owner of or licensor to these trademarks, service marks, and trade names.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Market, Industry and Other Data</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 and elsewhere in this prospectus. Some data are also based on our good faith estimates.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iii</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RSU"/>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1393" w:right="0" w:hanging="0"/>
        <w:jc w:val="center"/>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PROSPECTUS SUMMARY</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caps w:val="false"/>
          <w:smallCaps w:val="false"/>
          <w:color w:val="000000"/>
          <w:sz w:val="20"/>
          <w:bdr w:val="single" w:sz="8" w:space="1" w:color="000000"/>
        </w:rPr>
      </w:pPr>
      <w:r>
        <w:rPr>
          <w:rFonts w:ascii="Helvetica;Arial;sans-serif" w:hAnsi="Helvetica;Arial;sans-serif"/>
          <w:b w:val="false"/>
          <w:i/>
          <w:caps w:val="false"/>
          <w:smallCaps w:val="false"/>
          <w:color w:val="000000"/>
          <w:spacing w:val="-2"/>
          <w:sz w:val="20"/>
          <w:bdr w:val="single" w:sz="8" w:space="1" w:color="000000"/>
        </w:rPr>
        <w:t>This summary highlights selected information contained elsewhere in this prospectus. This summary does not contain all of the information you should consider before investing in our common stock. You should read this entire prospectus carefully, including the sections of this prospectus titled “Risk Factors,” “Cautionary Note Regarding Forward-Looking Statements,” “Management’s Discussion and Analysis of Financial Condition and Results of Operations” and our consolidated financial statements and the related notes included elsewhere in this prospectus, before making an investment decision. Unless otherwise indicated, all references in this prospectus to “City,” “City Therapeutics,” the “company,” “we,” “our,” “us” or similar terms refer to City Therapeutics, Inc. and its wholly-owned subsidiary, or either or both as the context may require.</w:t>
      </w:r>
      <w:r>
        <w:rPr>
          <w:rFonts w:ascii="Helvetica;Arial;sans-serif" w:hAnsi="Helvetica;Arial;sans-serif"/>
          <w:b w:val="false"/>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Overview</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a clinical-stage biotechnology company developing the next generation of RNA interference (“RNAi”) therapeutics designed to silence the expression of disease-relevant proteins, with the aim of delivering meaningful and durable benefits for patients in need. We believe our deep RNAi expertise and City Platform capabilities uniquely position us to develop potentially best-in-class therapeutics. Our vision is to lead the next generation of RNAi therapeutics, and our mission is to improve patients’ lives through breakthrough RNAi science as we build a biopharmaceutical company with enduring impact.</w:t>
      </w:r>
      <w:r>
        <w:rPr>
          <w:rFonts w:ascii="Helvetica;Arial;sans-serif" w:hAnsi="Helvetica;Arial;san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current pipeline is focused on indications with significant unmet medical need, including thromboembolic diseases, Stargardt disease type 1 (“Stargardt disease”), and anemia of chronic disease, where we believe disease biology supports RNAi-mediated knockdown as a differentiated approach compared to other modalities. Led by pioneers and experts in the field of RNAi, we have made rapid progress since founding our company in July 2023, discovering and advancing three potentially best-in-class programs into or toward the clinic in under three years, and our goal is for our City Platform to deliver one to two new investigational new drug application (“IND”) or IND-equivalent applications per year.</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Several members of our leadership team, including John Maraganore, Ph.D., our co-founder and Executive Chair and former founding Chief Executive Officer of Alnylam Pharmaceuticals, Inc. (“Alnylam”), and Tracy Zimmermann, Ph.D., our Chief Scientific Officer, played a foundational role in establishing RNAi therapeutics as a validated treatment modality, and our President and Chief Executive Officer, Andrew (Andy) Orth, M.B.A., led the launch of multiple RNAi therapeutics, including the first U.S. Food and Drug Administration (“FDA”)-approved RNAi therapeutic. Collectively, the team at City has contributed to the discovery, development, or commercialization of seven of the eight currently FDA-approved RNAi therapeutics, and 75% of our research leaders have prior RNAi therapeutics discovery or development experience.</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RNAi is a naturally occurring biological process that regulates or silences gene expression by “interfering” with messenger RNA (“mRNA”) before it can be translated into protein. RNAi has inherent advantages as a therapeutic mechanism because it is a highly specific, potent, and durable approach to selectively silence the expression of disease-relevant proteins, including intracellular targets that are inaccessible to traditional small molecules and antibodies. In addition, RNAi therapeutics benefit from a simpler molecular architecture relative to biologics, consisting of short, chemically synthesized oligonucleotides rather than large, complex proteins, which enables more consistent and scalable manufacturing. RNAi has been validated mechanistically and commercially with the first of the eight FDA-approved RNAi therapeutics coming to market in 2018 and multiple products achieving substantial and growing commercial sales. With approximately 100 programs currently in clinical development, we believe RNAi therapeutics are poised to follow a growth trajectory analogous to that of monoclonal antibody therapeutics, a modality that was first approved by the FDA in the mid-1990s and has since expanded to more than 150 approved medicines.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Our Pipeline</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advancing a pipeline of RNAi therapeutics designed to achieve potent, specific, and durable suppression of disease-relevant hepatic and extrahepatic targets to treat diseases with significant unmet medical needs. The following table summarizes our current programs: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791200" cy="25241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791200" cy="2524125"/>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30" w:before="252"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most advanced product candidate, CITY-FXI, is an optimized N-acetylgalactosamine (“GalNAc”)-conjugated small interfering RNA (“siRNA”) therapeutic targeting Factor XI (“FXI”). CITY-FXI illustrates our strategy of combining highly potent and specific RNAi triggers with validated disease targets. We believe CITY-FXI has a best-in-class profile for the prevention of thromboembolic diseases. Thrombosis, the formation of harmful clots inside a blood vessel, is responsible for approximately one in four deaths worldwide. FXI is a genetically and clinically validated target that contributes to pathological thrombosis while playing a limited role in hemostasis, or normal blood clotting. In preclinical studies with CITY-FXI, we observed 95% FXI knockdown with prolonged clotting time in non-human primates (“NHPs”) and no observed off-target effects in cell-based assays. We initiated our Phase 1 clinical trial for CITY-FXI in 2026, and initial data from two cohorts of our single-ascending dose (“SAD”) study in healthy volunteers showed a favorable safety profile with greater than 60% FXI knockdown observed following a single 15 mg subcutaneous dose, and close to 80% FXI knockdown after a single 50 mg subcutaneous dose. We expect to share additional data from our Phase 1 study in         . We intend to develop CITY-FXI for thromboembolic disease indications, including secondary stroke prevention, direct oral anticoagulant (“DOAC”)-ineligible atrial fibrillation (“AFib”), extended secondary prophylaxis following venous thromboembolism (“VTE”), and cancer-associated thrombosis, specifically in patients for whom DOACs are often not used because of heightened bleeding risk. We plan to first demonstrate efficacy and safety in thrombotic disease through a Phase 2 trial in total knee arthroplasty (“TKA”), a clinical setting in which patients are at increased risk of postoperative thrombosis.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Our second product candidate, CITY-RBP4, is an optimized GalNAc-conjugated siRNA therapeutic, in development for the treatment of Stargardt disease, which is the most common inherited macular degenerative disease in children and young adults. There are currently no approved therapies for the disease. More than 30,000 people in the United States are diagnosed with Stargardt disease, and some studies suggest that the prevalence is even higher, indicating there could be a significant number of undiagnosed patients who emerge upon FDA approval of a treatment. Stargardt disease is debilitating, and many patients become legally blind in their late twenties. Patients face decades of progressive loss of central vision that renders daily activities, including reading, recognizing faces, and driving impossible. Stargardt disease is caused by mutations in the </w:t>
      </w:r>
      <w:r>
        <w:rPr>
          <w:rFonts w:ascii="Helvetica;Arial;sans-serif" w:hAnsi="Helvetica;Arial;sans-serif"/>
          <w:b w:val="false"/>
          <w:i/>
          <w:caps w:val="false"/>
          <w:smallCaps w:val="false"/>
          <w:color w:val="000000"/>
          <w:spacing w:val="-2"/>
          <w:sz w:val="20"/>
          <w:bdr w:val="single" w:sz="8" w:space="1" w:color="000000"/>
        </w:rPr>
        <w:t>ABCA4</w:t>
      </w:r>
      <w:r>
        <w:rPr>
          <w:rFonts w:ascii="Helvetica;Arial;sans-serif" w:hAnsi="Helvetica;Arial;sans-serif"/>
          <w:b w:val="false"/>
          <w:i w:val="false"/>
          <w:caps w:val="false"/>
          <w:smallCaps w:val="false"/>
          <w:color w:val="000000"/>
          <w:spacing w:val="-2"/>
          <w:sz w:val="20"/>
          <w:bdr w:val="single" w:sz="8" w:space="1" w:color="000000"/>
        </w:rPr>
        <w:t xml:space="preserve"> gene, which lead to the toxic accumulation of vitamin A byproducts in the eye. CITY-RBP4 targets retinol binding protein 4 (“RBP4”), the primary carrier of retinol, a form of vitamin A, that transports retinol from the liver to the eye. Inhibition of RBP4 is a clinically validated mechanism for the treatment of Stargardt disease. In an NHP study, CITY-RBP4 demonstrated approximately 90% suppression of circulating vitamin A and RBP4 at dose levels of 3 mg/kg and 10 mg/kg. In mid-2026, we filed an application for CITY-RBP4 to initiate a Phase 1 clinical trial in                  . We are also exploring CITY-RBP4 in adjacent indications, including Geographic Atrophy (“GA”) secondary to age-related macular degeneration.</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Our third program, CITY-TFR2, is an optimized GalNAc-conjugated siRNA therapeutic candidate in development for anemia of chronic disease, which accounts for up to 40% of all anemias and affects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350" w:after="283"/>
        <w:ind w:left="13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more than five million people in the United States. In the inflammatory states associated with anemia of chronic disease, the body increases production of hepcidin, the hormone controlling systemic iron, which restricts iron availability and starves red blood cell production. CITY-TFR2 is designed to silence transferrin receptor 2 (“TFR2”), a protein predominantly produced in the liver that is critical to the regulation of hepcidin production. This lowers hepcidin, restoring the iron supply needed to correct anemia. In an NHP study, CITY-TFR2 demonstrated approximately 90% TFR2 mRNA knockdown with a concomitant increase in serum iron. We are initially focused on development of CITY-TFR2 in anemia associated with myelofibrosis, as anemia is a major contributor to the clinical burden of the disease. An investigator-initiated trial (“IIT”) for CITY-TFR2 is expected to begin in China in         , and we plan to file an IND or IND-equivalent application by          , with potential to expand into other chronic conditions where anemia is prevalent, such as chronic kidney disease and inflammatory diseases, including inflammatory bowel disease.</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have formed strategic collaborations with Bausch + Lomb Ireland Limited (“Bausch + Lomb”) and Biogen MA Inc. (“Biogen”) to advance extrahepatic RNAi therapeutics for diseases of the eye and the central nervous system (“CNS”). We believe these collaborations validate and enhance our City Platform, particularly our next-generation RNAi trigger and delivery technologies, while preserving our freedom to pursue additional targets in the eye and CNS and our rights to any City Platform innovations developed under the collaborations. In July 2024, we entered into a Research Collaboration and License Agreement with Bausch + Lomb (the “B+L Agreement”) for a single target, focused on developing a novel RNAi therapy for retinal diseases, including GA. The collaboration leverages our next-generation delivery technologies to enable intravitreal delivery of a novel RNAi therapeutic, and we retain rights to the delivery technology we build under the agreement. We plan to substantially complete the research and development under the B+L Agreement by           to enable Bausch + Lomb to select a development candidate by          . Our strategic collaboration with Biogen was established in May 2025 and leverages our trigger engineering expertise combined with Biogen’s proprietary drug delivery technology to develop a systemic RNAi therapeutic for certain CNS diseases. The collaboration will initially focus on a single target, and Biogen has the option to designate one additional target for a separate collaboration and license agreement on substantially the same terms. We plan to substantially complete the research and development under the Biogen Agreement by          to enable Biogen to select a development candidate by         .</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Our City Platform</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City Platform is the engine behind every therapeutic we develop. Our City Platform is designed to integrate three core capabilities: RNAi trigger engineering, novel delivery conjugates that allow for tissue selectivity, and target discovery and validation enabled by our insights into human genetics. Critical to every RNAi medicine is the trigger that harnesses the cellular RNAi machinery to silence a disease-relevant gene. We believe our expertise enables us to engineer the trigger for unmatched potency and specificity, and our novel cleavage-inducing tiny RNA (“cityRNA”) triggers are a differentiated approach to unlock extrahepatic delivery. Our proprietary artificial intelligence and machine learning (“AI/ML”)-enabled trigger design capability uses a large RNAi activity dataset to predict high-potential trigger molecules in silico, accelerating design cycles from months to days. We conjugate our triggers with tissue-targeting ligands for precise delivery to cell types in and beyond the liver, starting with our proprietary low-density lipoprotein receptor-related protein 1 (“LRP1”) ligands, which are designed to enable delivery to ocular, CNS, and adipose cells. Our pipeline programs are selected through a genetics-led target discovery and validation capability that leverages insights from human biology and other sources of validation. We use this capability to identify differentiated and genetically de-risked targets where RNAi can confer a durable therapeutic advantage. By uniting these capabilities in a single platform, we believe we can systematically create and develop potentially best-in-class therapeutics, supporting our goal of filing one to two new IND or IND-equivalent applications per year.</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Our Strategy</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We are driven by the opportunity to bring durable, meaningful benefit to patients through the next generation of RNAi therapeutics. Anchored by deep scientific expertise and our proprietary City Platform, we are working to develop potentially best-in-class therapeutics and to build a lasting, fully integrated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560"/>
        <w:ind w:left="13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RNAi company capable of delivering transformative therapeutics across a multitude of diseases. We intend to pursue this goal through the following key strategies: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Pioneer the future of RNAi trigger design and delivery.</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5"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Advance development candidates in high unmet medical need indications where RNAi is the optimal modality.</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6"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Selectively pursue value-accretive partnerships for certain programs to maximize the value of our portfolio.</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7"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Bring exceptional depth of experience to accelerate and expand our platform and pipeline.</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Our Team and History</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Defining the next generation of RNAi therapeutics requires a unique combination of scientific, clinical, and commercial expertise. We have assembled a team with deep experience across each of these disciplines. Collectively, our team has contributed to the discovery, development, or commercialization of seven of the eight currently FDA-approved RNAi therapeutics. Our Executive Chair and co-founder, John Maraganore, Ph.D., is a pioneer in the field of RNAi therapeutics who served as the former founding Chief Executive Officer of Alnylam for nearly 20 years, where he was instrumental in advancing the company from early platform research through the development, global regulatory approval, and commercialization of the first five RNAi therapeutics, and previously held senior leadership roles at Millennium Pharmaceuticals, Inc. and Biogen Inc. Our President and Chief Executive Officer, Andrew (Andy) Orth, M.B.A., brings more than 25 years of industry experience and held multiple leadership roles at Alnylam, including supporting the launch of ONPATTRO, the first FDA-approved RNAi therapeutic, before serving as Chief Commercial Officer of Krystal Biotech, Inc. Our Chief Medical Officer, Baisong Mei, M.D., Ph.D., a physician scientist and drug developer with 25 years of experience in the pharmaceutical and biotech industry, played a critical leadership role in the development and regulatory approval of ALPROLIX, ELOCTATE, ALTUVIIIO, and the siRNA medicine, QFITLIA. Our Chief Scientific Officer, Tracy Zimmermann, Ph.D., was the lead author of a landmark 2006 study, published in </w:t>
      </w:r>
      <w:r>
        <w:rPr>
          <w:rFonts w:ascii="Helvetica;Arial;sans-serif" w:hAnsi="Helvetica;Arial;sans-serif"/>
          <w:b w:val="false"/>
          <w:i/>
          <w:caps w:val="false"/>
          <w:smallCaps w:val="false"/>
          <w:color w:val="000000"/>
          <w:spacing w:val="-2"/>
          <w:sz w:val="20"/>
          <w:bdr w:val="single" w:sz="8" w:space="1" w:color="000000"/>
        </w:rPr>
        <w:t>Nature</w:t>
      </w:r>
      <w:r>
        <w:rPr>
          <w:rFonts w:ascii="Helvetica;Arial;sans-serif" w:hAnsi="Helvetica;Arial;sans-serif"/>
          <w:b w:val="false"/>
          <w:i w:val="false"/>
          <w:caps w:val="false"/>
          <w:smallCaps w:val="false"/>
          <w:color w:val="000000"/>
          <w:spacing w:val="-2"/>
          <w:sz w:val="20"/>
          <w:bdr w:val="single" w:sz="8" w:space="1" w:color="000000"/>
        </w:rPr>
        <w:t>, which provided the first-ever demonstration of RNAi-mediated gene silencing in NHPs and contributed heavily to the development of several approved RNAi therapeutics, including as co-inventor of AMVUTTRA. Our company was co-founded by John Maraganore, Sebastian Trousil, Ph.D., our Chief Operating Officer, and Ari Nowacek, M.D., Ph.D., our Senior Vice President of Corporate Development and a Partner at ARCH Venture Partners.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board of directors consists of highly experienced biotechnology executives and investors, including our Executive Chair, John Maraganore, Ph.D., former founding Chief Executive Officer and founding member of the board of directors of Alnylam, Barry Greene, former President and Chief Executive Officer of Sage Therapeutics, Inc. and former long-time Chief Operating Officer of Alnylam, Robert Nelsen, M.B.A., co-founder and Managing Director of ARCH Venture Partners, Saraswathy (Sara) V. Nochur, Ph.D., former Chief Regulatory Officer and Chief Diversity, Equity and Inclusion Officer of Alnylam, Ron Philip, former Chief Executive Officer and a member of the board of directors of Orbital Therapeutics, Inc., and Andy Orth, our President and Chief Executive Officer. Further, we have assembled a cross-functional scientific and drug discovery advisory board, comprised of seasoned drug developers and leading academic scientists at the forefront of RNAi therapeutics.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Since our inception, we have raised approximately $238.5 million in equity capital from a syndicate of premier life sciences investors, including ARCH Venture Partners, Fidelity Management &amp; Research Company, Invus, Viking Global Investors, Slate Path Capital, AN Venture Partners, Altitude Life Science Ventures, Sofinnova Investments, Rock Springs Capital, Regeneron Ventures and RTW Investments. Prospective investors should not rely on the investment decisions of our existing investors, as these investors may have different risk tolerances and, in certain cases, have received their shares in private financings at prices lower than the price offered to the public in this offering. See “</w:t>
      </w:r>
      <w:r>
        <w:rPr>
          <w:rFonts w:ascii="Helvetica;Arial;sans-serif" w:hAnsi="Helvetica;Arial;sans-serif"/>
          <w:b w:val="false"/>
          <w:i/>
          <w:caps w:val="false"/>
          <w:smallCaps w:val="false"/>
          <w:color w:val="000000"/>
          <w:spacing w:val="-2"/>
          <w:sz w:val="20"/>
          <w:bdr w:val="single" w:sz="8" w:space="1" w:color="000000"/>
        </w:rPr>
        <w:t>Certain Relationships and Related Person Transactions</w:t>
      </w:r>
      <w:r>
        <w:rPr>
          <w:rFonts w:ascii="Helvetica;Arial;sans-serif" w:hAnsi="Helvetica;Arial;sans-serif"/>
          <w:b w:val="false"/>
          <w:i w:val="false"/>
          <w:caps w:val="false"/>
          <w:smallCaps w:val="false"/>
          <w:color w:val="000000"/>
          <w:spacing w:val="-2"/>
          <w:sz w:val="20"/>
          <w:bdr w:val="single" w:sz="8" w:space="1" w:color="000000"/>
        </w:rPr>
        <w:t xml:space="preserve">” for more information.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1393" w:right="0" w:hanging="0"/>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Summary of Material Risks Associated With Our Business</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business is subject to a number of risks of which you should be aware before making an investment decision. These risks include, but are not limited to, the following:</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a clinical-stage biotechnology company with a limited operating history and no products approved by regulators for commercial sale, which may make it difficult to evaluate our current and future business prospects.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9"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approach we are taking to discover and develop certain of our product candidates is novel and may never lead to marketable products.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10"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early in our development efforts. We have only recently initiated early clinical studies, and as a result it will be years before we commercialize a product candidate, if ever. If we are unable to identify and advance product candidates through preclinical studies and clinical trials, obtain marketing approval and ultimately commercialize them, or experience significant delays in doing so, our business will be materially harmed.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Even if this offering is successful, we will require substantial additional capital to finance our operations in the future. If we are unable to raise such capital when needed, or on acceptable terms, we may be forced to delay, reduce or eliminate programs, product candidates (including clinical trials), or future commercialization efforts.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dependent on the success of our product candidates, including CITY-FXI, CITY-RBP4, and CITY-TFR2, and our ongoing and anticipated clinical trials may not be successful.</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Preclinical and clinical drug development is a lengthy and expensive process, with uncertain timelines and outcomes. If preclinical studies or clinical trials of our product candidates are prolonged or delayed, we may be unable to obtain required regulatory approvals, and therefore be unable to commercialize our product candidates or any of our future product candidates on a timely basis or at all.</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Regulatory Authorities may not accept data from clinical trials conducted outside the United States, which could require us to conduct additional clinical trials and delay the development or approval of our product candidates.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If our clinical trials fail to replicate positive results from earlier preclinical studies or clinical trials conducted by us or third parties, we may be unable to successfully develop, obtain regulatory approval for or commercialize our product candidates.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may encounter substantial delays in the commencement, enrollment or completion of our planned clinical trials or we may fail to demonstrate safety and efficacy to the satisfaction of applicable Regulatory Authorities, which could prevent us from commercializing any product candidates we determine to develop on a timely basis, if at all.</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If we become involved in patent litigation or other proceedings related to a determination of rights, we could incur substantial costs and expenses, substantial liability for damages or be required to stop our product development and commercialization efforts.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success is largely based upon our intellectual property and proprietary technologies, and we may be unable to adequately protect and/or enforce our intellectual property.</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dependent on intellectual property that we have in-licensed from third parties, and our failure to comply with our obligations under these licenses could result in loss of rights that are critical to our business.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rely on and expect to continue to rely on third parties to conduct aspects of our research, preclinical studies, clinical protocol development and clinical trials for our programs and product candidates. If these third parties do not perform satisfactorily, comply with regulatory requirements or meet expected deadlines, we may not be able to develop product candidates in a timely or cost-effective manner, or obtain regulatory approval for or commercialize our product candidates and our business could be substantially harmed.</w:t>
      </w:r>
      <w:r>
        <w:rPr>
          <w:rFonts w:ascii="Helvetica;Arial;sans-serif" w:hAnsi="Helvetica;Arial;san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rely on third parties for the supply and manufacture of our product candidates for our research, preclinical, and clinical activities, and may do the same for commercial supplies of our products, if approved. As our pipeline increases and matures, the increased demand for supplies from our manufacturers may increase the risk that we will not have sufficient supply when needed or at an acceptable cost.</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0" distB="0" distL="254000" distR="0" simplePos="0" locked="0" layoutInCell="1" allowOverlap="1" relativeHeight="44">
                <wp:simplePos x="0" y="0"/>
                <wp:positionH relativeFrom="column">
                  <wp:align>left</wp:align>
                </wp:positionH>
                <wp:positionV relativeFrom="line">
                  <wp:posOffset>635</wp:posOffset>
                </wp:positionV>
                <wp:extent cx="254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depend on limited source suppliers for certain drug substances, drug products, raw materials, samples, components and other materials used in our product candidates. If we are unable to source these supplies on a timely basis, or establish longer-term contracts with our suppliers, we may not be able to complete our clinical trials on time and the development of our product candidates may be delayed.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8001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have in the past entered into, and in the future may enter into, partnership, collaboration and licensing arrangements with third parties to support development of programs and product candidates. If these partnership, collaboration, and licensing arrangements are not successful, our business could be adversely affected.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80010" distB="0" distL="254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biopharmaceutical market is intensely competitive. If we or our collaborators are unable to compete effectively with existing drugs, new treatment methods, and new technologies, including with respect to our specific product candidates CITY-FXI, CITY-RBP4, and CITY-TFR2, we may be unable to successfully commercialize any drugs that we develop.</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80010" distB="0" distL="254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There has been no prior public market for our common stock, and an active trading market for our common stock may not develop.</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8001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price of our common stock may be volatile and fluctuate substantially, which could result in substantial losses for purchasers of our common stock in this offering.</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8001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summary risk factors described above should be read together with the text of the full risk factors in the section titled “</w:t>
      </w:r>
      <w:r>
        <w:rPr>
          <w:rFonts w:ascii="Helvetica;Arial;sans-serif" w:hAnsi="Helvetica;Arial;sans-serif"/>
          <w:b w:val="false"/>
          <w:i/>
          <w:caps w:val="false"/>
          <w:smallCaps w:val="false"/>
          <w:color w:val="000000"/>
          <w:spacing w:val="-2"/>
          <w:sz w:val="20"/>
          <w:bdr w:val="single" w:sz="8" w:space="1" w:color="000000"/>
        </w:rPr>
        <w:t>Risk Factors</w:t>
      </w:r>
      <w:r>
        <w:rPr>
          <w:rFonts w:ascii="Helvetica;Arial;sans-serif" w:hAnsi="Helvetica;Arial;sans-serif"/>
          <w:b w:val="false"/>
          <w:i w:val="false"/>
          <w:caps w:val="false"/>
          <w:smallCaps w:val="false"/>
          <w:color w:val="000000"/>
          <w:spacing w:val="-2"/>
          <w:sz w:val="20"/>
          <w:bdr w:val="single" w:sz="8" w:space="1" w:color="000000"/>
        </w:rPr>
        <w:t>” and the other information set forth in this prospectus, including our audited consolidated financial statements and the related notes, as well as in other documents that we file with the Securities and Exchange Commission (the “SEC”).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prospects.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Corporate Information</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We were incorporated under the laws of the State of Delaware in July 2023. Our principal executive offices are located at 399 Binney Street, Cambridge, Massachusetts 02142, and our telephone number is (857) 357-2024. We have one subsidiary, City Therapeutics Securities Corporation, formed in August 2024 under the laws of the Commonwealth of Massachusetts. Our website address is </w:t>
      </w:r>
      <w:r>
        <w:rPr>
          <w:rFonts w:ascii="Helvetica;Arial;sans-serif" w:hAnsi="Helvetica;Arial;sans-serif"/>
          <w:b w:val="false"/>
          <w:i/>
          <w:caps w:val="false"/>
          <w:smallCaps w:val="false"/>
          <w:color w:val="000000"/>
          <w:spacing w:val="-2"/>
          <w:sz w:val="20"/>
          <w:bdr w:val="single" w:sz="8" w:space="1" w:color="000000"/>
        </w:rPr>
        <w:t>www.citytx.com</w:t>
      </w:r>
      <w:r>
        <w:rPr>
          <w:rFonts w:ascii="Helvetica;Arial;sans-serif" w:hAnsi="Helvetica;Arial;sans-serif"/>
          <w:b w:val="false"/>
          <w:i w:val="false"/>
          <w:caps w:val="false"/>
          <w:smallCaps w:val="false"/>
          <w:color w:val="000000"/>
          <w:spacing w:val="-2"/>
          <w:sz w:val="20"/>
          <w:bdr w:val="single" w:sz="8" w:space="1" w:color="000000"/>
        </w:rPr>
        <w:t>. The information contained in or accessible from our website is not incorporated into this prospectus, and you should not consider it part of this prospectus. We have included our website address in this prospectus solely as an inactive textual reference.</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Implications of Being an Emerging Growth Company and a Smaller Reporting Company</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being permitted to present only two years of audited financial statements, in addition to any required unaudited interim financial statements, with correspondingly reduced “</w:t>
      </w:r>
      <w:r>
        <w:rPr>
          <w:rFonts w:ascii="Helvetica;Arial;sans-serif" w:hAnsi="Helvetica;Arial;sans-serif"/>
          <w:b w:val="false"/>
          <w:i/>
          <w:caps w:val="false"/>
          <w:smallCaps w:val="false"/>
          <w:color w:val="000000"/>
          <w:spacing w:val="-2"/>
          <w:sz w:val="20"/>
          <w:bdr w:val="single" w:sz="8" w:space="1" w:color="000000"/>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bdr w:val="single" w:sz="8" w:space="1" w:color="000000"/>
        </w:rPr>
        <w:t>” disclosure in this prospectus;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reduced disclosure about our executive compensation arrangements;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8001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not being required to hold advisory votes on executive compensation or to obtain stockholder approval of any golden parachute arrangements not previously approved;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0" distB="0" distL="254000" distR="0" simplePos="0" locked="0" layoutInCell="1" allowOverlap="1" relativeHeight="52">
                <wp:simplePos x="0" y="0"/>
                <wp:positionH relativeFrom="column">
                  <wp:align>left</wp:align>
                </wp:positionH>
                <wp:positionV relativeFrom="line">
                  <wp:posOffset>635</wp:posOffset>
                </wp:positionV>
                <wp:extent cx="254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an exemption from the auditor attestation requirement in the assessment of our internal control over financial reporting pursuant to Section 404 of the Sarbanes-Oxley Act of 2002 (the “Sarbanes-Oxley Act”); and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an exemption from compliance with the requirements of the Public Company Accounting Oversight Board regarding the communication of critical audit matters in the auditor’s report on the financial statements.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may take advantage of these exemptions for up to five years or such earlier time that we are no longer an emerging growth company. We may choose to take advantage of some but not all of these exemptions.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consolidated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measured on the last business day of our second fiscal quarter or (ii) our annual revenue was less than $100 million during the most recently completed fiscal year and the market value of our shares held by non-affiliates is less than $700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880"/>
        <w:ind w:left="1393" w:right="0" w:hanging="0"/>
        <w:jc w:val="center"/>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THE OFFERING</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i w:val="false"/>
          <w:caps w:val="false"/>
          <w:smallCaps w:val="false"/>
          <w:color w:val="000000"/>
          <w:spacing w:val="-2"/>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 xml:space="preserve">Common stock offered by us </w:t>
      </w:r>
    </w:p>
    <w:p>
      <w:pPr>
        <w:pStyle w:val="TextBody"/>
        <w:bidi w:val="0"/>
        <w:spacing w:lineRule="atLeast" w:line="240" w:before="0" w:after="283"/>
        <w:ind w:left="4993" w:right="0" w:hanging="0"/>
        <w:jc w:val="left"/>
        <w:rPr>
          <w:caps w:val="false"/>
          <w:smallCaps w:val="false"/>
          <w:color w:val="000000"/>
          <w:bdr w:val="single" w:sz="8" w:space="1" w:color="000000"/>
        </w:rPr>
      </w:pPr>
      <w:r>
        <w:rPr>
          <w:caps w:val="false"/>
          <w:smallCaps w:val="false"/>
          <w:color w:val="000000"/>
          <w:spacing w:val="-2"/>
          <w:bdr w:val="single" w:sz="8" w:space="1" w:color="000000"/>
        </w:rPr>
        <w:t>       </w:t>
      </w:r>
      <w:r>
        <w:rPr>
          <w:rFonts w:ascii="Helvetica;Arial;sans-serif" w:hAnsi="Helvetica;Arial;sans-serif"/>
          <w:b w:val="false"/>
          <w:i w:val="false"/>
          <w:caps w:val="false"/>
          <w:smallCaps w:val="false"/>
          <w:color w:val="000000"/>
          <w:spacing w:val="-2"/>
          <w:sz w:val="20"/>
          <w:bdr w:val="single" w:sz="8" w:space="1" w:color="000000"/>
        </w:rPr>
        <w:t>shares.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i w:val="false"/>
          <w:caps w:val="false"/>
          <w:smallCaps w:val="false"/>
          <w:color w:val="000000"/>
          <w:spacing w:val="-2"/>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 xml:space="preserve">Option to purchase additional shares of common stock </w:t>
      </w:r>
    </w:p>
    <w:p>
      <w:pPr>
        <w:pStyle w:val="TextBody"/>
        <w:bidi w:val="0"/>
        <w:spacing w:lineRule="atLeast" w:line="240" w:before="0" w:after="283"/>
        <w:ind w:left="49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have granted a 30-day option to the underwriters to purchase up to        additional shares of common stock from us at the public offering price, less underwriting discounts and commissions.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i w:val="false"/>
          <w:caps w:val="false"/>
          <w:smallCaps w:val="false"/>
          <w:color w:val="000000"/>
          <w:spacing w:val="-2"/>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 xml:space="preserve">Common stock to be outstanding immediately after this offering </w:t>
      </w:r>
    </w:p>
    <w:p>
      <w:pPr>
        <w:pStyle w:val="TextBody"/>
        <w:bidi w:val="0"/>
        <w:spacing w:lineRule="atLeast" w:line="240" w:before="0" w:after="283"/>
        <w:ind w:left="4993" w:right="0" w:hanging="0"/>
        <w:jc w:val="left"/>
        <w:rPr>
          <w:caps w:val="false"/>
          <w:smallCaps w:val="false"/>
          <w:color w:val="000000"/>
          <w:bdr w:val="single" w:sz="8" w:space="1" w:color="000000"/>
        </w:rPr>
      </w:pPr>
      <w:r>
        <w:rPr>
          <w:caps w:val="false"/>
          <w:smallCaps w:val="false"/>
          <w:color w:val="000000"/>
          <w:spacing w:val="-2"/>
          <w:bdr w:val="single" w:sz="8" w:space="1" w:color="000000"/>
        </w:rPr>
        <w:t xml:space="preserve">         </w:t>
      </w:r>
      <w:r>
        <w:rPr>
          <w:rFonts w:ascii="Helvetica;Arial;sans-serif" w:hAnsi="Helvetica;Arial;sans-serif"/>
          <w:b w:val="false"/>
          <w:i w:val="false"/>
          <w:caps w:val="false"/>
          <w:smallCaps w:val="false"/>
          <w:color w:val="000000"/>
          <w:spacing w:val="-2"/>
          <w:sz w:val="20"/>
          <w:bdr w:val="single" w:sz="8" w:space="1" w:color="000000"/>
        </w:rPr>
        <w:t>shares (or          shares if the underwriters exercise their option to purchase additional shares of common stock in full).</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i w:val="false"/>
          <w:caps w:val="false"/>
          <w:smallCaps w:val="false"/>
          <w:color w:val="000000"/>
          <w:spacing w:val="-2"/>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 xml:space="preserve">Use of proceeds </w:t>
      </w:r>
    </w:p>
    <w:p>
      <w:pPr>
        <w:pStyle w:val="TextBody"/>
        <w:bidi w:val="0"/>
        <w:spacing w:lineRule="atLeast" w:line="240" w:before="0" w:after="283"/>
        <w:ind w:left="49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estimate that the net proceeds from the sale of our common stock in this offering will be approximately $       million (or approximately $       million if the underwriters exercise their option to purchase additional shares of common stock in full), based on the assumed initial public offering price of $       per share, which is the midpoint of the estimated offering price range set forth on the cover page of this prospectus, after deducting underwriting discounts and commissions and estimated offering expenses payable by us.</w:t>
      </w:r>
      <w:r>
        <w:rPr>
          <w:rFonts w:ascii="Helvetica;Arial;sans-serif" w:hAnsi="Helvetica;Arial;san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9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currently intend to use the net proceeds from this offering, together with our existing cash and cash equivalents, as follows: approximately $       million to fund the clinical development of CITY-FXI, including our ongoing Phase 1 clinical trial, a Phase 2 TKA study, and preparations for subsequent clinical development for the treatment of thrombosis; approximately $       million to fund the clinical development of CITY-RBP4, including our Phase 1 clinical trial and preparations for later-stage clinical development for the treatment of Stargardt disease and GA; approximately $        million to fund the clinical development of CITY-TFR2, including an IIT in China for the treatment of anemia in myelofibrosis patients, and the Phase 1 clinical trial for the treatment of anemia of chronic disease; approximately $         million to advance our City Platform, including continued investment to advance cityRNA triggers (CITY-O02 and CITY-C02) to the pipeline, as well as additional preclinical product candidates toward IND submission and clinical development; and the remainder to support additional research and development efforts for new programs and product candidates, as well as for working capital and other general corporate purposes. See the section titled “</w:t>
      </w:r>
      <w:r>
        <w:rPr>
          <w:rFonts w:ascii="Helvetica;Arial;sans-serif" w:hAnsi="Helvetica;Arial;sans-serif"/>
          <w:b w:val="false"/>
          <w:i/>
          <w:caps w:val="false"/>
          <w:smallCaps w:val="false"/>
          <w:color w:val="000000"/>
          <w:spacing w:val="-2"/>
          <w:sz w:val="20"/>
          <w:bdr w:val="single" w:sz="8" w:space="1" w:color="000000"/>
        </w:rPr>
        <w:t>Use of Proceeds</w:t>
      </w:r>
      <w:r>
        <w:rPr>
          <w:rFonts w:ascii="Helvetica;Arial;sans-serif" w:hAnsi="Helvetica;Arial;sans-serif"/>
          <w:b w:val="false"/>
          <w:i w:val="false"/>
          <w:caps w:val="false"/>
          <w:smallCaps w:val="false"/>
          <w:color w:val="000000"/>
          <w:spacing w:val="-2"/>
          <w:sz w:val="20"/>
          <w:bdr w:val="single" w:sz="8" w:space="1" w:color="000000"/>
        </w:rPr>
        <w:t>” for additional information.</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i w:val="false"/>
          <w:caps w:val="false"/>
          <w:smallCaps w:val="false"/>
          <w:color w:val="000000"/>
          <w:spacing w:val="-2"/>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 xml:space="preserve">Risk factors </w:t>
      </w:r>
    </w:p>
    <w:p>
      <w:pPr>
        <w:pStyle w:val="TextBody"/>
        <w:bidi w:val="0"/>
        <w:spacing w:lineRule="atLeast" w:line="240" w:before="0" w:after="283"/>
        <w:ind w:left="49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See the section titled “</w:t>
      </w:r>
      <w:r>
        <w:rPr>
          <w:rFonts w:ascii="Helvetica;Arial;sans-serif" w:hAnsi="Helvetica;Arial;sans-serif"/>
          <w:b w:val="false"/>
          <w:i/>
          <w:caps w:val="false"/>
          <w:smallCaps w:val="false"/>
          <w:color w:val="000000"/>
          <w:spacing w:val="-2"/>
          <w:sz w:val="20"/>
          <w:bdr w:val="single" w:sz="8" w:space="1" w:color="000000"/>
        </w:rPr>
        <w:t>Risk Factors</w:t>
      </w:r>
      <w:r>
        <w:rPr>
          <w:rFonts w:ascii="Helvetica;Arial;sans-serif" w:hAnsi="Helvetica;Arial;sans-serif"/>
          <w:b w:val="false"/>
          <w:i w:val="false"/>
          <w:caps w:val="false"/>
          <w:smallCaps w:val="false"/>
          <w:color w:val="000000"/>
          <w:spacing w:val="-2"/>
          <w:sz w:val="20"/>
          <w:bdr w:val="single" w:sz="8" w:space="1" w:color="000000"/>
        </w:rPr>
        <w:t>” for a discussion of factors you should carefully consider before deciding whether to invest in our common stock.</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i w:val="false"/>
          <w:caps w:val="false"/>
          <w:smallCaps w:val="false"/>
          <w:color w:val="000000"/>
          <w:spacing w:val="-2"/>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 xml:space="preserve">Proposed Nasdaq Global Market trading symbol </w:t>
      </w:r>
    </w:p>
    <w:p>
      <w:pPr>
        <w:pStyle w:val="TextBody"/>
        <w:bidi w:val="0"/>
        <w:spacing w:lineRule="atLeast" w:line="240" w:before="0" w:after="283"/>
        <w:ind w:left="4993" w:right="0" w:hanging="0"/>
        <w:jc w:val="left"/>
        <w:rPr>
          <w:caps w:val="false"/>
          <w:smallCaps w:val="false"/>
          <w:color w:val="000000"/>
          <w:spacing w:val="-2"/>
          <w:bdr w:val="single" w:sz="8" w:space="1" w:color="000000"/>
        </w:rPr>
      </w:pPr>
      <w:r>
        <w:rPr>
          <w:caps w:val="false"/>
          <w:smallCaps w:val="false"/>
          <w:color w:val="000000"/>
          <w:spacing w:val="-2"/>
          <w:bdr w:val="single" w:sz="8" w:space="1" w:color="000000"/>
        </w:rPr>
        <w:t>“</w:t>
      </w:r>
      <w:r>
        <w:rPr>
          <w:rFonts w:ascii="Helvetica;Arial;sans-serif" w:hAnsi="Helvetica;Arial;sans-serif"/>
          <w:b w:val="false"/>
          <w:i w:val="false"/>
          <w:caps w:val="false"/>
          <w:smallCaps w:val="false"/>
          <w:color w:val="000000"/>
          <w:spacing w:val="-2"/>
          <w:sz w:val="20"/>
          <w:bdr w:val="single" w:sz="8" w:space="1" w:color="000000"/>
        </w:rPr>
        <w:t xml:space="preserve">CTY”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640"/>
        <w:ind w:left="1393" w:right="0" w:firstLine="4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The number of shares of our common stock that will be outstanding after this offering is based on      shares of our common stock outstanding as of June 30, 2026 (which includes         shares of restricted common stock subject to repurchase or forfeiture), after giving effect to (i) the automatic conversion of all outstanding shares of our convertible preferred stock into an aggregate of          shares of our common stock and (ii) the automatic conversion of the outstanding principal and accrued interest under the convertible promissory note with Biogen (the “Biogen Note”) into an aggregate of       shares of our common stock at a conversion price equal to 85% of the assumed initial public offering price of $     per share, the midpoint of the estimated offering price range set forth on the cover page of this prospectus, in each case immediately prior to the completion of this offering, and excludes: </w:t>
      </w:r>
    </w:p>
    <w:p>
      <w:pPr>
        <w:pStyle w:val="TextBody"/>
        <w:bidi w:val="0"/>
        <w:spacing w:lineRule="atLeast" w:line="240" w:before="120" w:after="0"/>
        <w:ind w:left="2193" w:right="0" w:hanging="0"/>
        <w:jc w:val="left"/>
        <w:rPr>
          <w:caps w:val="false"/>
          <w:smallCaps w:val="false"/>
          <w:color w:val="000000"/>
          <w:bdr w:val="single" w:sz="8" w:space="1" w:color="000000"/>
        </w:rPr>
      </w:pPr>
      <w:r>
        <w:rPr>
          <w:caps w:val="false"/>
          <w:smallCaps w:val="false"/>
          <w:color w:val="000000"/>
          <w:spacing w:val="-2"/>
          <w:bdr w:val="single" w:sz="8" w:space="1" w:color="000000"/>
        </w:rPr>
        <w:t>      </w:t>
      </w:r>
      <w:r>
        <w:rPr>
          <w:rFonts w:ascii="Helvetica;Arial;sans-serif" w:hAnsi="Helvetica;Arial;sans-serif"/>
          <w:b w:val="false"/>
          <w:i w:val="false"/>
          <w:caps w:val="false"/>
          <w:smallCaps w:val="false"/>
          <w:color w:val="000000"/>
          <w:spacing w:val="-2"/>
          <w:sz w:val="20"/>
          <w:bdr w:val="single" w:sz="8" w:space="1" w:color="000000"/>
        </w:rPr>
        <w:t>shares of common stock issuable upon exercise of outstanding stock options as of June 30, 2026 under our 2023 Stock Plan, as amended from time to time (the “2023 Plan”), with a weighted-average exercise price of $       per share;</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bdr w:val="single" w:sz="8" w:space="1" w:color="000000"/>
        </w:rPr>
      </w:pPr>
      <w:r>
        <w:rPr>
          <w:caps w:val="false"/>
          <w:smallCaps w:val="false"/>
          <w:color w:val="000000"/>
          <w:spacing w:val="-2"/>
          <w:bdr w:val="single" w:sz="8" w:space="1" w:color="000000"/>
        </w:rPr>
        <w:t>      </w:t>
      </w:r>
      <w:r>
        <w:rPr>
          <w:rFonts w:ascii="Helvetica;Arial;sans-serif" w:hAnsi="Helvetica;Arial;sans-serif"/>
          <w:b w:val="false"/>
          <w:i w:val="false"/>
          <w:caps w:val="false"/>
          <w:smallCaps w:val="false"/>
          <w:color w:val="000000"/>
          <w:spacing w:val="-2"/>
          <w:sz w:val="20"/>
          <w:bdr w:val="single" w:sz="8" w:space="1" w:color="000000"/>
        </w:rPr>
        <w:t>shares of common stock issuable upon exercise of outstanding stock options granted after June 30, 2026 under our 2023 Plan, with a weighted-average exercise price of $       per share;</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bdr w:val="single" w:sz="8" w:space="1" w:color="000000"/>
        </w:rPr>
      </w:pPr>
      <w:r>
        <w:rPr>
          <w:caps w:val="false"/>
          <w:smallCaps w:val="false"/>
          <w:color w:val="000000"/>
          <w:spacing w:val="-2"/>
          <w:bdr w:val="single" w:sz="8" w:space="1" w:color="000000"/>
        </w:rPr>
        <w:t>      </w:t>
      </w:r>
      <w:r>
        <w:rPr>
          <w:rFonts w:ascii="Helvetica;Arial;sans-serif" w:hAnsi="Helvetica;Arial;sans-serif"/>
          <w:b w:val="false"/>
          <w:i w:val="false"/>
          <w:caps w:val="false"/>
          <w:smallCaps w:val="false"/>
          <w:color w:val="000000"/>
          <w:spacing w:val="-2"/>
          <w:sz w:val="20"/>
          <w:bdr w:val="single" w:sz="8" w:space="1" w:color="000000"/>
        </w:rPr>
        <w:t>shares of common stock reserved for future issuance as of June 30, 2026 under our 2023 Plan, which will cease to be available for issuance at the time that our 2026 Stock Option and Incentive Plan (the “2026 Plan”) becomes effective;</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bdr w:val="single" w:sz="8" w:space="1" w:color="000000"/>
        </w:rPr>
      </w:pPr>
      <w:r>
        <w:rPr>
          <w:caps w:val="false"/>
          <w:smallCaps w:val="false"/>
          <w:color w:val="000000"/>
          <w:spacing w:val="-2"/>
          <w:bdr w:val="single" w:sz="8" w:space="1" w:color="000000"/>
        </w:rPr>
        <w:t>        </w:t>
      </w:r>
      <w:r>
        <w:rPr>
          <w:rFonts w:ascii="Helvetica;Arial;sans-serif" w:hAnsi="Helvetica;Arial;sans-serif"/>
          <w:b w:val="false"/>
          <w:i w:val="false"/>
          <w:caps w:val="false"/>
          <w:smallCaps w:val="false"/>
          <w:color w:val="000000"/>
          <w:spacing w:val="-2"/>
          <w:sz w:val="20"/>
          <w:bdr w:val="single" w:sz="8" w:space="1" w:color="000000"/>
        </w:rPr>
        <w:t>shares of our common stock reserved for future issuance under our 2026 Plan,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our 2023 Plan that expire or are repurchased, forfeited, cancelled or withheld; and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bdr w:val="single" w:sz="8" w:space="1" w:color="000000"/>
        </w:rPr>
      </w:pPr>
      <w:r>
        <w:rPr>
          <w:caps w:val="false"/>
          <w:smallCaps w:val="false"/>
          <w:color w:val="000000"/>
          <w:spacing w:val="-2"/>
          <w:bdr w:val="single" w:sz="8" w:space="1" w:color="000000"/>
        </w:rPr>
        <w:t>       </w:t>
      </w:r>
      <w:r>
        <w:rPr>
          <w:rFonts w:ascii="Helvetica;Arial;sans-serif" w:hAnsi="Helvetica;Arial;sans-serif"/>
          <w:b w:val="false"/>
          <w:i w:val="false"/>
          <w:caps w:val="false"/>
          <w:smallCaps w:val="false"/>
          <w:color w:val="000000"/>
          <w:spacing w:val="-2"/>
          <w:sz w:val="20"/>
          <w:bdr w:val="single" w:sz="8" w:space="1" w:color="000000"/>
        </w:rPr>
        <w:t>shares of common stock reserved for future issuance under our 2026 Employee Stock Purchase Plan (the “ESPP”), which will become effective on the date immediately prior to the effectiveness of the registration statement of which this prospectus forms a part, as well as any automatic increases in the number of shares of common stock reserved for future issuance under the ESPP.</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Unless otherwise indicated, the information in this prospectus reflects or assumes the following:</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automatic conversion of (i) all outstanding shares of our convertible preferred stock into an aggregate of        shares of common stock and (ii) the outstanding principal and accrued interest under the Biogen Note into an aggregate of          shares of our common stock at a conversion price equal to 85% of the assumed initial public offering price of $        per share, the midpoint of the estimated offering price range set forth on the cover page of this prospectus, in each case immediately prior to the completion of this offering;</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no exercise of the outstanding stock options or restricted common stock described above after June 30, 2026;</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no exercise of the underwriters’ option to purchase up to an additional        shares of common stock in this offering;</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a one-for-           reverse stock split of our common stock, which will become effective prior to the completion of this offering and a corresponding adjustment to the ratio at which our convertible preferred stock will convert into common stock;</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the filing and effectiveness of our amended and restated certificate of incorporation (the “amended and restated certificate of incorporation”) immediately prior to the completion of this offering and the effectiveness of our amended and restated bylaws upon the effectiveness of the registration statement of which this prospectus forms a part.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140"/>
        <w:ind w:left="1393" w:right="0" w:hanging="0"/>
        <w:jc w:val="center"/>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SUMMARY CONSOLIDATED FINANCIAL DATA</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caps w:val="false"/>
          <w:smallCaps w:val="false"/>
          <w:color w:val="000000"/>
          <w:sz w:val="20"/>
          <w:bdr w:val="single" w:sz="8" w:space="1" w:color="000000"/>
        </w:rPr>
      </w:pPr>
      <w:r>
        <w:rPr>
          <w:rFonts w:ascii="Helvetica;Arial;sans-serif" w:hAnsi="Helvetica;Arial;sans-serif"/>
          <w:b w:val="false"/>
          <w:i/>
          <w:caps w:val="false"/>
          <w:smallCaps w:val="false"/>
          <w:color w:val="000000"/>
          <w:spacing w:val="-2"/>
          <w:sz w:val="20"/>
          <w:bdr w:val="single" w:sz="8" w:space="1" w:color="000000"/>
        </w:rPr>
        <w:t>The following tables set forth our summary consolidated statements of operations for the years ended December 31, 2024 and 2025 and for the six months ended June 30, 2025 and 2026 and our summary condensed consolidated balance sheet data as of June 30, 2026. The summary consolidated statements of operations data for the years ended December 31, 2024 and 2025 have been derived from our audited consolidated financial statements included elsewhere in this prospectus. The summary condensed consolidated statements of operations data for the six months ended June 30, 2025 and 2026 and summary condensed consolidated balance sheet data as of June 30, 2026 have been derived from our unaudited condensed consolidated financial statements included elsewhere in this prospectus. Our historical results are not necessarily indicative of the results that may be expected for any period in the future, and our interim results are not necessarily indicative of the results that may be expected for the full year or any other period. Our unaudited interim financial statements were prepared on the same basis as our audited financial statements and include, in the opinion of management, all adjustments, consisting of normal recurring adjustments, that are necessary for the fair statement of the financial information set forth in those financial statements. You should read the following summary financial data together with “Management’s Discussion and Analysis of Financial Condition and Results of Operations” and our consolidated financial statements and the related notes included elsewhere in this prospectus. The summary consolidated financial data included in this section are not intended to replace the consolidated financial statements and are qualified in their entirety by our consolidated financial statements and the related notes included elsewhere in this prospectus.</w:t>
      </w:r>
      <w:r>
        <w:rPr>
          <w:rFonts w:ascii="Helvetica;Arial;sans-serif" w:hAnsi="Helvetica;Arial;sans-serif"/>
          <w:b w:val="false"/>
          <w:i/>
          <w:caps w:val="false"/>
          <w:smallCaps w:val="false"/>
          <w:color w:val="000000"/>
          <w:spacing w:val="4"/>
          <w:sz w:val="20"/>
          <w:bdr w:val="single" w:sz="8" w:space="1" w:color="000000"/>
        </w:rPr>
        <w:t xml:space="preserve"> </w:t>
      </w:r>
    </w:p>
    <w:tbl>
      <w:tblPr>
        <w:tblW w:w="8812" w:type="dxa"/>
        <w:jc w:val="left"/>
        <w:tblInd w:w="1393" w:type="dxa"/>
        <w:tblLayout w:type="fixed"/>
        <w:tblCellMar>
          <w:top w:w="0" w:type="dxa"/>
          <w:left w:w="0" w:type="dxa"/>
          <w:bottom w:w="40" w:type="dxa"/>
          <w:right w:w="0" w:type="dxa"/>
        </w:tblCellMar>
      </w:tblPr>
      <w:tblGrid>
        <w:gridCol w:w="3171"/>
        <w:gridCol w:w="109"/>
        <w:gridCol w:w="109"/>
        <w:gridCol w:w="109"/>
        <w:gridCol w:w="226"/>
        <w:gridCol w:w="1066"/>
        <w:gridCol w:w="109"/>
        <w:gridCol w:w="109"/>
        <w:gridCol w:w="109"/>
        <w:gridCol w:w="109"/>
        <w:gridCol w:w="226"/>
        <w:gridCol w:w="1066"/>
        <w:gridCol w:w="109"/>
        <w:gridCol w:w="109"/>
        <w:gridCol w:w="109"/>
        <w:gridCol w:w="109"/>
        <w:gridCol w:w="226"/>
        <w:gridCol w:w="353"/>
        <w:gridCol w:w="109"/>
        <w:gridCol w:w="109"/>
        <w:gridCol w:w="109"/>
        <w:gridCol w:w="109"/>
        <w:gridCol w:w="226"/>
        <w:gridCol w:w="353"/>
        <w:gridCol w:w="109"/>
        <w:gridCol w:w="155"/>
      </w:tblGrid>
      <w:tr>
        <w:trPr/>
        <w:tc>
          <w:tcPr>
            <w:tcW w:w="3171" w:type="dxa"/>
            <w:vMerge w:val="restart"/>
            <w:tcBorders>
              <w:bottom w:val="single" w:sz="2" w:space="0" w:color="000000"/>
            </w:tcBorders>
            <w:vAlign w:val="center"/>
          </w:tcPr>
          <w:p>
            <w:pPr>
              <w:pStyle w:val="TableContents"/>
              <w:bidi w:val="0"/>
              <w:spacing w:lineRule="atLeast" w:line="225" w:before="0" w:after="0"/>
              <w:jc w:val="left"/>
              <w:rPr/>
            </w:pPr>
            <w:r>
              <w:rPr>
                <w:spacing w:val="-2"/>
              </w:rPr>
              <w:t>(in thousands, except share and per share</w:t>
            </w:r>
            <w:r>
              <w:rPr/>
              <w:t xml:space="preserve"> </w:t>
              <w:br/>
            </w:r>
            <w:r>
              <w:rPr>
                <w:spacing w:val="-2"/>
              </w:rPr>
              <w:t xml:space="preserve">amounts)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8"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Year ended December 31,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2"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Six Months ended June 30,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7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7"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7"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2026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71" w:type="dxa"/>
            <w:tcBorders/>
            <w:shd w:fill="CCEEFF" w:val="clear"/>
            <w:tcMar>
              <w:bottom w:w="0" w:type="dxa"/>
            </w:tcMar>
            <w:vAlign w:val="center"/>
          </w:tcPr>
          <w:p>
            <w:pPr>
              <w:pStyle w:val="TableContents"/>
              <w:bidi w:val="0"/>
              <w:spacing w:before="0" w:after="0"/>
              <w:ind w:left="200" w:right="0" w:hanging="200"/>
              <w:jc w:val="left"/>
              <w:rPr/>
            </w:pPr>
            <w:r>
              <w:rPr>
                <w:spacing w:val="-2"/>
              </w:rPr>
              <w:t>Consolidated Statements of Operations and Comprehensive Loss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71" w:type="dxa"/>
            <w:tcBorders/>
            <w:tcMar>
              <w:bottom w:w="0" w:type="dxa"/>
            </w:tcMar>
            <w:vAlign w:val="center"/>
          </w:tcPr>
          <w:p>
            <w:pPr>
              <w:pStyle w:val="TableContents"/>
              <w:bidi w:val="0"/>
              <w:spacing w:before="0" w:after="0"/>
              <w:jc w:val="left"/>
              <w:rPr>
                <w:spacing w:val="-2"/>
              </w:rPr>
            </w:pPr>
            <w:r>
              <w:rPr>
                <w:spacing w:val="-2"/>
              </w:rPr>
              <w:t xml:space="preserve">Collaboration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13,562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71" w:type="dxa"/>
            <w:tcBorders/>
            <w:shd w:fill="CCEEFF" w:val="clear"/>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71" w:type="dxa"/>
            <w:tcBorders/>
            <w:tcMar>
              <w:bottom w:w="0" w:type="dxa"/>
            </w:tcMar>
            <w:vAlign w:val="center"/>
          </w:tcPr>
          <w:p>
            <w:pPr>
              <w:pStyle w:val="TableContents"/>
              <w:bidi w:val="0"/>
              <w:spacing w:before="0" w:after="0"/>
              <w:ind w:left="200" w:right="0" w:hanging="0"/>
              <w:jc w:val="left"/>
              <w:rPr/>
            </w:pPr>
            <w:r>
              <w:rPr>
                <w:spacing w:val="-2"/>
              </w:rPr>
              <w:t>Research and development</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25,682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58,420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71" w:type="dxa"/>
            <w:tcBorders>
              <w:bottom w:val="single" w:sz="2" w:space="0" w:color="CCEEFF"/>
            </w:tcBorders>
            <w:shd w:fill="CCEEFF" w:val="clear"/>
            <w:vAlign w:val="center"/>
          </w:tcPr>
          <w:p>
            <w:pPr>
              <w:pStyle w:val="TableContents"/>
              <w:bidi w:val="0"/>
              <w:spacing w:lineRule="atLeast" w:line="142" w:before="0" w:after="0"/>
              <w:ind w:left="200" w:right="0" w:hanging="0"/>
              <w:jc w:val="left"/>
              <w:rPr/>
            </w:pPr>
            <w:r>
              <w:rPr>
                <w:spacing w:val="-2"/>
              </w:rPr>
              <w:t>General and administrative</w:t>
            </w:r>
            <w:r>
              <w:rPr>
                <w:spacing w:val="-2"/>
                <w:sz w:val="13"/>
              </w:rPr>
              <w:t>(2)</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6,186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15,064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5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5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171" w:type="dxa"/>
            <w:tcBorders>
              <w:bottom w:val="single" w:sz="2" w:space="0" w:color="FFFFFF"/>
            </w:tcBorders>
            <w:vAlign w:val="center"/>
          </w:tcPr>
          <w:p>
            <w:pPr>
              <w:pStyle w:val="TableContents"/>
              <w:bidi w:val="0"/>
              <w:spacing w:before="0" w:after="0"/>
              <w:ind w:left="400" w:right="0" w:hanging="0"/>
              <w:jc w:val="left"/>
              <w:rPr>
                <w:spacing w:val="-2"/>
              </w:rPr>
            </w:pPr>
            <w:r>
              <w:rPr>
                <w:spacing w:val="-2"/>
              </w:rPr>
              <w:t xml:space="preserve">Total operating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31,868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73,484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353"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353"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71"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Loss from operations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(29,090)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(59,922)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5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5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171" w:type="dxa"/>
            <w:tcBorders/>
            <w:tcMar>
              <w:bottom w:w="0" w:type="dxa"/>
            </w:tcMar>
            <w:vAlign w:val="center"/>
          </w:tcPr>
          <w:p>
            <w:pPr>
              <w:pStyle w:val="TableContents"/>
              <w:bidi w:val="0"/>
              <w:spacing w:before="0" w:after="283"/>
              <w:jc w:val="left"/>
              <w:rPr>
                <w:spacing w:val="-2"/>
              </w:rPr>
            </w:pPr>
            <w:r>
              <w:rPr>
                <w:spacing w:val="-2"/>
              </w:rPr>
              <w:t xml:space="preserve">Other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71"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71" w:type="dxa"/>
            <w:tcBorders/>
            <w:tcMar>
              <w:bottom w:w="0" w:type="dxa"/>
            </w:tcMar>
            <w:vAlign w:val="center"/>
          </w:tcPr>
          <w:p>
            <w:pPr>
              <w:pStyle w:val="TableContents"/>
              <w:bidi w:val="0"/>
              <w:spacing w:before="0" w:after="0"/>
              <w:ind w:left="200" w:right="0" w:hanging="0"/>
              <w:jc w:val="left"/>
              <w:rPr>
                <w:spacing w:val="-2"/>
              </w:rPr>
            </w:pPr>
            <w:r>
              <w:rPr>
                <w:spacing w:val="-2"/>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71"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Other expense, net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(695)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(534)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353"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353"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171" w:type="dxa"/>
            <w:tcBorders>
              <w:bottom w:val="single" w:sz="2" w:space="0" w:color="FFFFFF"/>
            </w:tcBorders>
            <w:vAlign w:val="center"/>
          </w:tcPr>
          <w:p>
            <w:pPr>
              <w:pStyle w:val="TableContents"/>
              <w:bidi w:val="0"/>
              <w:spacing w:before="0" w:after="0"/>
              <w:ind w:left="400" w:right="0" w:hanging="0"/>
              <w:jc w:val="left"/>
              <w:rPr>
                <w:spacing w:val="-2"/>
              </w:rPr>
            </w:pPr>
            <w:r>
              <w:rPr>
                <w:spacing w:val="-2"/>
              </w:rPr>
              <w:t xml:space="preserve">Total other income,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1,254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1,417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353"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353"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71" w:type="dxa"/>
            <w:tcBorders/>
            <w:shd w:fill="CCEEFF" w:val="clear"/>
            <w:tcMar>
              <w:bottom w:w="0" w:type="dxa"/>
            </w:tcMar>
            <w:vAlign w:val="center"/>
          </w:tcPr>
          <w:p>
            <w:pPr>
              <w:pStyle w:val="TableContents"/>
              <w:bidi w:val="0"/>
              <w:spacing w:before="0" w:after="0"/>
              <w:jc w:val="left"/>
              <w:rPr>
                <w:spacing w:val="-2"/>
              </w:rPr>
            </w:pPr>
            <w:r>
              <w:rPr>
                <w:spacing w:val="-2"/>
              </w:rPr>
              <w:t xml:space="preserve">Net loss and comprehensive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(27,836)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(58,505)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353" w:type="dxa"/>
            <w:tcBorders>
              <w:bottom w:val="double" w:sz="8" w:space="0" w:color="000000"/>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353" w:type="dxa"/>
            <w:tcBorders>
              <w:bottom w:val="double" w:sz="8" w:space="0" w:color="000000"/>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71" w:type="dxa"/>
            <w:tcBorders>
              <w:bottom w:val="single" w:sz="2" w:space="0" w:color="FFFFFF"/>
            </w:tcBorders>
            <w:vAlign w:val="center"/>
          </w:tcPr>
          <w:p>
            <w:pPr>
              <w:pStyle w:val="TableContents"/>
              <w:bidi w:val="0"/>
              <w:spacing w:lineRule="atLeast" w:line="142" w:before="0" w:after="0"/>
              <w:jc w:val="left"/>
              <w:rPr/>
            </w:pPr>
            <w:r>
              <w:rPr>
                <w:spacing w:val="-2"/>
              </w:rPr>
              <w:t>Net loss per share, basic and diluted</w:t>
            </w:r>
            <w:r>
              <w:rPr>
                <w:spacing w:val="-2"/>
                <w:sz w:val="13"/>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(8.18)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(12.46)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353" w:type="dxa"/>
            <w:tcBorders>
              <w:bottom w:val="single" w:sz="2" w:space="0" w:color="000000"/>
            </w:tcBorders>
            <w:vAlign w:val="center"/>
          </w:tcPr>
          <w:p>
            <w:pPr>
              <w:pStyle w:val="TableContents"/>
              <w:bidi w:val="0"/>
              <w:spacing w:before="0" w:after="283"/>
              <w:jc w:val="left"/>
              <w:rPr>
                <w:sz w:val="4"/>
                <w:szCs w:val="4"/>
              </w:rPr>
            </w:pPr>
            <w:r>
              <w:rPr>
                <w:sz w:val="4"/>
                <w:szCs w:val="4"/>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353" w:type="dxa"/>
            <w:tcBorders>
              <w:bottom w:val="single" w:sz="2" w:space="0" w:color="000000"/>
            </w:tcBorders>
            <w:vAlign w:val="center"/>
          </w:tcPr>
          <w:p>
            <w:pPr>
              <w:pStyle w:val="TableContents"/>
              <w:bidi w:val="0"/>
              <w:spacing w:before="0" w:after="283"/>
              <w:jc w:val="left"/>
              <w:rPr>
                <w:sz w:val="4"/>
                <w:szCs w:val="4"/>
              </w:rPr>
            </w:pPr>
            <w:r>
              <w:rPr>
                <w:sz w:val="4"/>
                <w:szCs w:val="4"/>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71" w:type="dxa"/>
            <w:tcBorders/>
            <w:shd w:fill="CCEEFF" w:val="clear"/>
            <w:tcMar>
              <w:bottom w:w="0" w:type="dxa"/>
            </w:tcMar>
            <w:vAlign w:val="center"/>
          </w:tcPr>
          <w:p>
            <w:pPr>
              <w:pStyle w:val="TableContents"/>
              <w:bidi w:val="0"/>
              <w:spacing w:before="0" w:after="0"/>
              <w:ind w:left="200" w:right="0" w:hanging="200"/>
              <w:jc w:val="left"/>
              <w:rPr/>
            </w:pPr>
            <w:r>
              <w:rPr>
                <w:spacing w:val="-2"/>
              </w:rPr>
              <w:t>Weighted-average common shares outstanding, basic and diluted</w:t>
            </w:r>
            <w:r>
              <w:rPr>
                <w:spacing w:val="-2"/>
                <w:szCs w:val="13"/>
              </w:rPr>
              <w:t>﻿</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283"/>
              <w:jc w:val="right"/>
              <w:rPr/>
            </w:pPr>
            <w:r>
              <w:rPr/>
              <w:t>3,403,747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283"/>
              <w:jc w:val="right"/>
              <w:rPr/>
            </w:pPr>
            <w:r>
              <w:rPr/>
              <w:t>4,696,166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353"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353"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71" w:type="dxa"/>
            <w:tcBorders/>
            <w:tcMar>
              <w:bottom w:w="0" w:type="dxa"/>
            </w:tcMar>
            <w:vAlign w:val="center"/>
          </w:tcPr>
          <w:p>
            <w:pPr>
              <w:pStyle w:val="TableContents"/>
              <w:bidi w:val="0"/>
              <w:spacing w:before="0" w:after="0"/>
              <w:ind w:left="200" w:right="0" w:hanging="200"/>
              <w:jc w:val="left"/>
              <w:rPr/>
            </w:pPr>
            <w:r>
              <w:rPr>
                <w:spacing w:val="-2"/>
              </w:rPr>
              <w:t>Pro forma net loss per share allocable to common stockholders, basic and diluted (unaudited)</w:t>
            </w:r>
            <w:r>
              <w:rPr>
                <w:spacing w:val="-2"/>
                <w:szCs w:val="13"/>
              </w:rPr>
              <w:t>﻿</w:t>
            </w:r>
            <w:r>
              <w:rPr>
                <w:spacing w:val="-2"/>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tcMar>
              <w:bottom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5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28" w:type="dxa"/>
            </w:tcMar>
            <w:vAlign w:val="center"/>
          </w:tcPr>
          <w:p>
            <w:pPr>
              <w:pStyle w:val="TableContents"/>
              <w:bidi w:val="0"/>
              <w:spacing w:before="0" w:after="283"/>
              <w:jc w:val="right"/>
              <w:rPr/>
            </w:pPr>
            <w:r>
              <w:rPr/>
              <w:t>​</w:t>
            </w:r>
          </w:p>
        </w:tc>
        <w:tc>
          <w:tcPr>
            <w:tcW w:w="353" w:type="dxa"/>
            <w:tcBorders>
              <w:bottom w:val="double" w:sz="8" w:space="0" w:color="000000"/>
            </w:tcBorders>
            <w:tcMar>
              <w:bottom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71" w:type="dxa"/>
            <w:tcBorders/>
            <w:shd w:fill="CCEEFF" w:val="clear"/>
            <w:tcMar>
              <w:bottom w:w="0" w:type="dxa"/>
            </w:tcMar>
            <w:vAlign w:val="center"/>
          </w:tcPr>
          <w:p>
            <w:pPr>
              <w:pStyle w:val="TableContents"/>
              <w:bidi w:val="0"/>
              <w:spacing w:before="0" w:after="0"/>
              <w:ind w:left="200" w:right="0" w:hanging="200"/>
              <w:jc w:val="left"/>
              <w:rPr/>
            </w:pPr>
            <w:r>
              <w:rPr>
                <w:spacing w:val="-2"/>
              </w:rPr>
              <w:t>Pro forma weighted average common shares outstanding, basic and diluted (unaudited)</w:t>
            </w:r>
            <w:r>
              <w:rPr>
                <w:spacing w:val="-2"/>
                <w:szCs w:val="13"/>
              </w:rPr>
              <w:t>﻿</w:t>
            </w:r>
            <w:r>
              <w:rPr>
                <w:spacing w:val="-2"/>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353"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pacing w:val="-2"/>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 xml:space="preserve">Includes related party amounts of $3.6 million and $5.3 million for research and development expenses for the years ended December 31, 2024 and 2025, respectively, and $     million and $     million for the six months ended June 30, 2025 and 2026, respectively. See Note 17 — “Related Parties” to our audited consolidated financial statements and Note     —  “Related Parties” to our unaudited condensed consolidated financial statements included elsewhere in this prospectus. </w:t>
      </w:r>
      <w:r>
        <mc:AlternateContent>
          <mc:Choice Requires="wps">
            <w:drawing>
              <wp:anchor behindDoc="0" distT="88900" distB="0" distL="0" distR="0" simplePos="0" locked="0" layoutInCell="1" allowOverlap="1" relativeHeight="65">
                <wp:simplePos x="0" y="0"/>
                <wp:positionH relativeFrom="column">
                  <wp:align>left</wp:align>
                </wp:positionH>
                <wp:positionV relativeFrom="line">
                  <wp:align>top</wp:align>
                </wp:positionV>
                <wp:extent cx="254000" cy="233680"/>
                <wp:effectExtent l="0" t="0" r="0" b="0"/>
                <wp:wrapSquare wrapText="right"/>
                <wp:docPr id="43" name="Frame4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180" w:before="350" w:after="275"/>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Includes related party amounts of $0.7 million and $1.1 million for general and administrative expenses for the years ended December 31, 2024 and 2025, respectively, and $       million and $       million for the six months ended June 30, 2025 and 2026, respectively. See Note 17 — “Related Parties” to our audited consolidated financial statements and Note     — “Related Parties” to our unaudited condensed consolidated financial statements included elsewhere in this prospectus.</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254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See Notes 2 and 16 to our consolidated financial statements and Notes       and        to our unaudited condensed consolidated financial statements included elsewhere in this prospectus for a description of the method used to calculate net loss per share, basic and diluted.</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508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Pro forma net loss per share allocable to common stockholders, basic and diluted for the year ended December 31, 2025 and the six months ended June 30, 2026 was calculated using the weighted average number of shares of common stock outstanding, including the pro forma effect of (i) the automatic conversion of all outstanding shares of our convertible preferred stock into an aggregate of         shares of our common stock, and (ii) the automatic conversion of the outstanding principal and accrued interest under the Biogen Note into shares of our common stock, at a conversion price equal to 85% of the assumed initial public offering price of $       per share, the midpoint of the estimated offering price range set forth on the cover page of this prospectus, in each case as if such conversion had occurred as of January 1, 2025. Pro forma net loss per share allocable to common stockholders, basic and diluted does not include the effect of the shares expected to be sold in this offering. Upon the completion of this offering, if the actual initial public offering price differs from the assumed initial public offering price of $       per share, the midpoint of the estimated offering price range set forth on the cover page of this prospectus, the number of shares of common stock issuable upon conversion of the Biogen Note will differ from the amounts reflected above. A $1.00 decrease in the assumed initial public offering price of $       per share would increase the number of shares of common stock issuable upon conversion of the outstanding principal and accrued interest under the Biogen Note by an aggregate of       shares. A $1.00 increase in the assumed initial public offering price of $        per share would decrease the number of shares of common stock issuable upon such conversion by an aggregate of        shares. The actual number of shares of common stock issuable upon conversion will be based on the outstanding principal and accrued interest under the Biogen Note and the actual initial public offering price.</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5080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769" w:type="dxa"/>
        <w:jc w:val="left"/>
        <w:tblInd w:w="1393" w:type="dxa"/>
        <w:tblLayout w:type="fixed"/>
        <w:tblCellMar>
          <w:top w:w="0" w:type="dxa"/>
          <w:left w:w="0" w:type="dxa"/>
          <w:bottom w:w="28" w:type="dxa"/>
          <w:right w:w="0" w:type="dxa"/>
        </w:tblCellMar>
      </w:tblPr>
      <w:tblGrid>
        <w:gridCol w:w="4122"/>
        <w:gridCol w:w="109"/>
        <w:gridCol w:w="109"/>
        <w:gridCol w:w="109"/>
        <w:gridCol w:w="226"/>
        <w:gridCol w:w="586"/>
        <w:gridCol w:w="109"/>
        <w:gridCol w:w="109"/>
        <w:gridCol w:w="109"/>
        <w:gridCol w:w="140"/>
        <w:gridCol w:w="290"/>
        <w:gridCol w:w="753"/>
        <w:gridCol w:w="140"/>
        <w:gridCol w:w="109"/>
        <w:gridCol w:w="109"/>
        <w:gridCol w:w="157"/>
        <w:gridCol w:w="326"/>
        <w:gridCol w:w="846"/>
        <w:gridCol w:w="157"/>
        <w:gridCol w:w="154"/>
      </w:tblGrid>
      <w:tr>
        <w:trPr/>
        <w:tc>
          <w:tcPr>
            <w:tcW w:w="41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75" w:type="dxa"/>
            <w:gridSpan w:val="16"/>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As of 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22" w:type="dxa"/>
            <w:tcBorders>
              <w:bottom w:val="single" w:sz="2" w:space="0" w:color="000000"/>
            </w:tcBorders>
            <w:tcMar>
              <w:bottom w:w="42" w:type="dxa"/>
            </w:tcMar>
            <w:vAlign w:val="center"/>
          </w:tcPr>
          <w:p>
            <w:pPr>
              <w:pStyle w:val="TableContents"/>
              <w:bidi w:val="0"/>
              <w:spacing w:before="0" w:after="0"/>
              <w:jc w:val="left"/>
              <w:rPr>
                <w:spacing w:val="-2"/>
              </w:rPr>
            </w:pP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3" w:type="dxa"/>
            <w:gridSpan w:val="4"/>
            <w:tcBorders>
              <w:bottom w:val="single" w:sz="2" w:space="0" w:color="000000"/>
            </w:tcBorders>
            <w:tcMar>
              <w:bottom w:w="42" w:type="dxa"/>
            </w:tcMar>
            <w:vAlign w:val="center"/>
          </w:tcPr>
          <w:p>
            <w:pPr>
              <w:pStyle w:val="TableContents"/>
              <w:bidi w:val="0"/>
              <w:spacing w:lineRule="atLeast" w:line="142" w:before="0" w:after="0"/>
              <w:jc w:val="center"/>
              <w:rPr/>
            </w:pPr>
            <w:r>
              <w:rPr>
                <w:spacing w:val="-2"/>
              </w:rPr>
              <w:t>Pro Forma</w:t>
            </w:r>
            <w:r>
              <w:rPr>
                <w:spacing w:val="-2"/>
                <w:sz w:val="13"/>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6" w:type="dxa"/>
            <w:gridSpan w:val="4"/>
            <w:tcBorders>
              <w:bottom w:val="single" w:sz="2" w:space="0" w:color="000000"/>
            </w:tcBorders>
            <w:tcMar>
              <w:bottom w:w="42" w:type="dxa"/>
            </w:tcMar>
            <w:vAlign w:val="center"/>
          </w:tcPr>
          <w:p>
            <w:pPr>
              <w:pStyle w:val="TableContents"/>
              <w:bidi w:val="0"/>
              <w:spacing w:lineRule="atLeast" w:line="142" w:before="0" w:after="0"/>
              <w:jc w:val="center"/>
              <w:rPr/>
            </w:pPr>
            <w:r>
              <w:rPr>
                <w:spacing w:val="-2"/>
              </w:rPr>
              <w:t>Pro Forma As</w:t>
            </w:r>
            <w:r>
              <w:rPr/>
              <w:t xml:space="preserve"> </w:t>
              <w:br/>
            </w:r>
            <w:r>
              <w:rPr>
                <w:spacing w:val="-2"/>
              </w:rPr>
              <w:t>Adjusted</w:t>
            </w:r>
            <w:r>
              <w:rPr>
                <w:spacing w:val="-2"/>
                <w:sz w:val="13"/>
              </w:rPr>
              <w:t>(2)</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22" w:type="dxa"/>
            <w:tcBorders/>
            <w:shd w:fill="CCEEFF" w:val="clear"/>
            <w:tcMar>
              <w:bottom w:w="0" w:type="dxa"/>
            </w:tcMar>
            <w:vAlign w:val="center"/>
          </w:tcPr>
          <w:p>
            <w:pPr>
              <w:pStyle w:val="TableContents"/>
              <w:bidi w:val="0"/>
              <w:spacing w:before="0" w:after="283"/>
              <w:jc w:val="left"/>
              <w:rPr/>
            </w:pPr>
            <w:r>
              <w:rPr>
                <w:spacing w:val="-2"/>
              </w:rPr>
              <w:t>Consolidated Balance Sheet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right"/>
              <w:rPr/>
            </w:pPr>
            <w:r>
              <w:rPr/>
              <w:t>​</w:t>
            </w:r>
          </w:p>
        </w:tc>
        <w:tc>
          <w:tcPr>
            <w:tcW w:w="753"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6"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2" w:type="dxa"/>
            <w:tcBorders/>
            <w:tcMar>
              <w:bottom w:w="0" w:type="dxa"/>
            </w:tcMar>
            <w:vAlign w:val="center"/>
          </w:tcPr>
          <w:p>
            <w:pPr>
              <w:pStyle w:val="TableContents"/>
              <w:bidi w:val="0"/>
              <w:spacing w:before="0" w:after="0"/>
              <w:jc w:val="left"/>
              <w:rPr>
                <w:spacing w:val="-2"/>
              </w:rPr>
            </w:pPr>
            <w:r>
              <w:rPr>
                <w:spacing w:val="-2"/>
              </w:rPr>
              <w:t xml:space="preserve">Cash, cash equivalents, and 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right"/>
              <w:rPr/>
            </w:pPr>
            <w:r>
              <w:rPr/>
              <w:t>$</w:t>
            </w:r>
          </w:p>
        </w:tc>
        <w:tc>
          <w:tcPr>
            <w:tcW w:w="753" w:type="dxa"/>
            <w:tcBorders/>
            <w:tcMar>
              <w:bottom w:w="0" w:type="dxa"/>
            </w:tcMar>
            <w:vAlign w:val="center"/>
          </w:tcPr>
          <w:p>
            <w:pPr>
              <w:pStyle w:val="TableContents"/>
              <w:bidi w:val="0"/>
              <w:spacing w:before="0" w:after="283"/>
              <w:jc w:val="right"/>
              <w:rPr/>
            </w:pPr>
            <w:r>
              <w:rPr/>
              <w:t>    </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6" w:type="dxa"/>
            <w:tcBorders/>
            <w:tcMar>
              <w:bottom w:w="0" w:type="dxa"/>
            </w:tcMar>
            <w:vAlign w:val="center"/>
          </w:tcPr>
          <w:p>
            <w:pPr>
              <w:pStyle w:val="TableContents"/>
              <w:bidi w:val="0"/>
              <w:spacing w:before="0" w:after="283"/>
              <w:jc w:val="right"/>
              <w:rPr/>
            </w:pPr>
            <w:r>
              <w:rPr/>
              <w:t>$</w:t>
            </w:r>
          </w:p>
        </w:tc>
        <w:tc>
          <w:tcPr>
            <w:tcW w:w="846" w:type="dxa"/>
            <w:tcBorders/>
            <w:tcMar>
              <w:bottom w:w="0" w:type="dxa"/>
            </w:tcMar>
            <w:vAlign w:val="center"/>
          </w:tcPr>
          <w:p>
            <w:pPr>
              <w:pStyle w:val="TableContents"/>
              <w:bidi w:val="0"/>
              <w:spacing w:before="0" w:after="283"/>
              <w:jc w:val="right"/>
              <w:rPr/>
            </w:pPr>
            <w:r>
              <w:rPr/>
              <w:t>    </w:t>
            </w:r>
          </w:p>
        </w:tc>
        <w:tc>
          <w:tcPr>
            <w:tcW w:w="15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2" w:type="dxa"/>
            <w:tcBorders/>
            <w:shd w:fill="CCEEFF" w:val="clear"/>
            <w:tcMar>
              <w:bottom w:w="0" w:type="dxa"/>
            </w:tcMar>
            <w:vAlign w:val="center"/>
          </w:tcPr>
          <w:p>
            <w:pPr>
              <w:pStyle w:val="TableContents"/>
              <w:bidi w:val="0"/>
              <w:spacing w:before="0" w:after="0"/>
              <w:jc w:val="left"/>
              <w:rPr/>
            </w:pPr>
            <w:r>
              <w:rPr>
                <w:spacing w:val="-2"/>
              </w:rPr>
              <w:t>Working capital</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right"/>
              <w:rPr/>
            </w:pPr>
            <w:r>
              <w:rPr/>
              <w:t>​</w:t>
            </w:r>
          </w:p>
        </w:tc>
        <w:tc>
          <w:tcPr>
            <w:tcW w:w="753"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6"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2" w:type="dxa"/>
            <w:tcBorders/>
            <w:tcMar>
              <w:bottom w:w="0" w:type="dxa"/>
            </w:tcMar>
            <w:vAlign w:val="center"/>
          </w:tcPr>
          <w:p>
            <w:pPr>
              <w:pStyle w:val="TableContents"/>
              <w:bidi w:val="0"/>
              <w:spacing w:before="0" w:after="0"/>
              <w:jc w:val="left"/>
              <w:rPr>
                <w:spacing w:val="-2"/>
              </w:rPr>
            </w:pPr>
            <w:r>
              <w:rPr>
                <w:spacing w:val="-2"/>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right"/>
              <w:rPr/>
            </w:pPr>
            <w:r>
              <w:rPr/>
              <w:t>​</w:t>
            </w:r>
          </w:p>
        </w:tc>
        <w:tc>
          <w:tcPr>
            <w:tcW w:w="753"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6" w:type="dxa"/>
            <w:tcBorders/>
            <w:tcMar>
              <w:bottom w:w="0" w:type="dxa"/>
            </w:tcMar>
            <w:vAlign w:val="center"/>
          </w:tcPr>
          <w:p>
            <w:pPr>
              <w:pStyle w:val="TableContents"/>
              <w:bidi w:val="0"/>
              <w:spacing w:before="0" w:after="283"/>
              <w:jc w:val="right"/>
              <w:rPr/>
            </w:pPr>
            <w:r>
              <w:rPr/>
              <w:t>​</w:t>
            </w:r>
          </w:p>
        </w:tc>
        <w:tc>
          <w:tcPr>
            <w:tcW w:w="846"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2" w:type="dxa"/>
            <w:tcBorders/>
            <w:shd w:fill="CCEEFF" w:val="clear"/>
            <w:tcMar>
              <w:bottom w:w="0" w:type="dxa"/>
            </w:tcMar>
            <w:vAlign w:val="center"/>
          </w:tcPr>
          <w:p>
            <w:pPr>
              <w:pStyle w:val="TableContents"/>
              <w:bidi w:val="0"/>
              <w:spacing w:before="0" w:after="0"/>
              <w:jc w:val="left"/>
              <w:rPr>
                <w:spacing w:val="-2"/>
              </w:rPr>
            </w:pPr>
            <w:r>
              <w:rPr>
                <w:spacing w:val="-2"/>
              </w:rPr>
              <w:t xml:space="preserve">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right"/>
              <w:rPr/>
            </w:pPr>
            <w:r>
              <w:rPr/>
              <w:t>​</w:t>
            </w:r>
          </w:p>
        </w:tc>
        <w:tc>
          <w:tcPr>
            <w:tcW w:w="753"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6"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2" w:type="dxa"/>
            <w:tcBorders/>
            <w:tcMar>
              <w:bottom w:w="0" w:type="dxa"/>
            </w:tcMar>
            <w:vAlign w:val="center"/>
          </w:tcPr>
          <w:p>
            <w:pPr>
              <w:pStyle w:val="TableContents"/>
              <w:bidi w:val="0"/>
              <w:spacing w:before="0" w:after="0"/>
              <w:jc w:val="left"/>
              <w:rPr>
                <w:spacing w:val="-2"/>
              </w:rPr>
            </w:pPr>
            <w:r>
              <w:rPr>
                <w:spacing w:val="-2"/>
              </w:rPr>
              <w:t xml:space="preserve">Total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right"/>
              <w:rPr/>
            </w:pPr>
            <w:r>
              <w:rPr/>
              <w:t>​</w:t>
            </w:r>
          </w:p>
        </w:tc>
        <w:tc>
          <w:tcPr>
            <w:tcW w:w="753"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6" w:type="dxa"/>
            <w:tcBorders/>
            <w:tcMar>
              <w:bottom w:w="0" w:type="dxa"/>
            </w:tcMar>
            <w:vAlign w:val="center"/>
          </w:tcPr>
          <w:p>
            <w:pPr>
              <w:pStyle w:val="TableContents"/>
              <w:bidi w:val="0"/>
              <w:spacing w:before="0" w:after="283"/>
              <w:jc w:val="right"/>
              <w:rPr/>
            </w:pPr>
            <w:r>
              <w:rPr/>
              <w:t>​</w:t>
            </w:r>
          </w:p>
        </w:tc>
        <w:tc>
          <w:tcPr>
            <w:tcW w:w="846"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2" w:type="dxa"/>
            <w:tcBorders/>
            <w:shd w:fill="CCEEFF" w:val="clear"/>
            <w:tcMar>
              <w:bottom w:w="0" w:type="dxa"/>
            </w:tcMar>
            <w:vAlign w:val="center"/>
          </w:tcPr>
          <w:p>
            <w:pPr>
              <w:pStyle w:val="TableContents"/>
              <w:bidi w:val="0"/>
              <w:spacing w:before="0" w:after="0"/>
              <w:jc w:val="left"/>
              <w:rPr>
                <w:spacing w:val="-2"/>
              </w:rPr>
            </w:pPr>
            <w:r>
              <w:rPr>
                <w:spacing w:val="-2"/>
              </w:rPr>
              <w:t xml:space="preserve">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283"/>
              <w:jc w:val="right"/>
              <w:rPr/>
            </w:pPr>
            <w:r>
              <w:rPr/>
              <w:t>​</w:t>
            </w:r>
          </w:p>
        </w:tc>
        <w:tc>
          <w:tcPr>
            <w:tcW w:w="753"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6"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2" w:type="dxa"/>
            <w:tcBorders/>
            <w:tcMar>
              <w:bottom w:w="0" w:type="dxa"/>
            </w:tcMar>
            <w:vAlign w:val="center"/>
          </w:tcPr>
          <w:p>
            <w:pPr>
              <w:pStyle w:val="TableContents"/>
              <w:bidi w:val="0"/>
              <w:spacing w:before="0" w:after="0"/>
              <w:jc w:val="left"/>
              <w:rPr>
                <w:spacing w:val="-2"/>
              </w:rPr>
            </w:pPr>
            <w:r>
              <w:rPr>
                <w:spacing w:val="-2"/>
              </w:rPr>
              <w:t xml:space="preserve">Total stockholders’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right"/>
              <w:rPr/>
            </w:pPr>
            <w:r>
              <w:rPr/>
              <w:t>​</w:t>
            </w:r>
          </w:p>
        </w:tc>
        <w:tc>
          <w:tcPr>
            <w:tcW w:w="753"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6" w:type="dxa"/>
            <w:tcBorders/>
            <w:tcMar>
              <w:bottom w:w="0" w:type="dxa"/>
            </w:tcMar>
            <w:vAlign w:val="center"/>
          </w:tcPr>
          <w:p>
            <w:pPr>
              <w:pStyle w:val="TableContents"/>
              <w:bidi w:val="0"/>
              <w:spacing w:before="0" w:after="283"/>
              <w:jc w:val="right"/>
              <w:rPr/>
            </w:pPr>
            <w:r>
              <w:rPr/>
              <w:t>​</w:t>
            </w:r>
          </w:p>
        </w:tc>
        <w:tc>
          <w:tcPr>
            <w:tcW w:w="846"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Pro forma amounts give effect to (i) the automatic conversion of all outstanding shares of our convertible preferred stock into an aggregate of       shares of our common stock immediately prior to the completion of this offering, (ii) the automatic conversion of the outstanding principal and accrued interest under the Biogen Note into an aggregate of       shares of our common stock immediately prior to the completion of this offering, at a conversion price equal to 85% of the assumed initial public offering price of $       per share, the midpoint of the estimated offering price range listed on the cover page of this prospectus, and (iii) the filing and effectiveness of our amended and restated certificate of incorporation, which will occur immediately prior to the completion of this offering.</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889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Pro forma as adjusted amounts give effect to (i) the pro forma adjustments set forth in footnote (1) above and (ii) the issuance and sale of       shares of our common stock in this offering at the initial public offering price of $      per share, the midpoint of the price range set forth on the cover page of this prospectus, after deducting the underwriting discounts and commissions and estimated offering expenses payable by us. This pro forma as adjusted information is illustrative only and will depend on the actual initial public offering price and other terms of this offering determined at pricing. Each $1.00 increase or decrease in the assumed initial public offering price of $      per share would increase or decrease, as applicable, the pro forma as adjusted amount of each of our cash, cash equivalents, and restricted cash, working capital, total assets and total stockholders’ deficit equity by approximately $      , assuming that the number of shares offered by us, as set forth on the cover page of this prospectus, remains the same and after deducting the underwriting discounts and commissions and estimated offering expenses payable by us. Each increase or decrease of 1.0 million shares in the number of shares offered by us at the assumed initial public offering price of $      per share would increase or decrease, as applicable, the pro forma as adjusted amounts of each of our cash, cash equivalents, and restricted cash, working capital, total assets and total stockholders’ deficit equity by approximately $      , assuming no change in the assumed initial public offering price per share, and after deducting the underwriting discounts and commissions and estimated offering expenses payable by us.</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508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We define working capital as current assets less current liabilities. See our unaudited condensed consolidated financial statements and the related notes included elsewhere in this prospectus for further details regarding our current assets and current liabilities.</w:t>
      </w:r>
      <w:r>
        <w:rPr>
          <w:rFonts w:ascii="Helvetica;Arial;sans-serif" w:hAnsi="Helvetica;Arial;sans-serif"/>
          <w:b w:val="false"/>
          <w:i w:val="false"/>
          <w:caps w:val="false"/>
          <w:smallCaps w:val="false"/>
          <w:color w:val="000000"/>
          <w:sz w:val="16"/>
          <w:bdr w:val="single" w:sz="8" w:space="1" w:color="000000"/>
        </w:rPr>
        <w:t xml:space="preserve"> </w:t>
      </w:r>
      <w:r>
        <mc:AlternateContent>
          <mc:Choice Requires="wps">
            <w:drawing>
              <wp:anchor behindDoc="0" distT="508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RIFA"/>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 FACTORS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Investing in our common stock involves a high degree of risk. You should carefully consider the following risks and uncertainties, together with all other information in this prospectus,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 Additional risks that we currently do not know about or that we currently believe to be immaterial may also impair our business. Certain statements below are forward-looking statements. See the section titled “Cautionary Note Regarding Forward-Looking Statements” appearing elsewhere in this prospectus.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Our Limited Operating History, Financial Position and Need for Additional Capital</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a clinical-stage biotechnology company with a limited operating history and no products approved by regulators for commercial sale, which may make it difficult to evaluate our current and future business prospects.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 clinical-stage biotechnology company with a limited operating history, which may make it difficult to evaluate the success of our business to date and assess our future viability. Since our inception in July 2023, we have devoted substantially all of our efforts and financial resources to organizing and staffing our company, business planning, establishing our intellectual property portfolio, raising capital, advancing development of our portfolio of programs and platform, including identifying and developing our product candidates, conducting research and preclinical studies and IND-enabling studies, and initiating and conducting clinical trials, and providing general and administrative support to our operations. All of our programs and product candidates are still in the research, preclinical development or clinical development stages. We have not yet demonstrated our ability to successfully complete any clinical trials, obtain regulatory approvals, manufacture a commercial-scale product or arrange for a third party to do so on our behalf, or conduct sales, marketing and distribution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made about our future success or viability may not be as accurate as they could be if we had a longer operating history.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no products approved for commercial sale and we can provide no assurance that we will obtain regulatory approvals to market and sell any products in the future. We therefore have never generated any revenue from product sales, and we do not expect to generate any revenue from product sales in the foreseeable future. Biopharmaceutical product development is a highly speculative undertaking and involves a substantial degree of risk. If we do not address these risks and difficulties successfully, our business will suffer.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incurred significant losses since our inception and anticipate that we will continue to incur significant losses for the foreseeable future.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no products approved for commercial sale and have not generated any revenue from product sales to date. We will continue to incur significant research and development and other expenses related to our programs, product candidates and ongoing operations. As a result, we are not profitable and have incurred losses in each period since our inception. Net losses and negative cash flows have had, and will continue to have, an adverse effect on our stockholders’ equity (deficit) and working capital. We have incurred net losses in each year since our inception in 2023, including net losses of $27.8 million and $58.5 million during the years ended December 31, 2024 and 2025, respectively. As of June 30, 2026, we had an accumulated deficit of $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To date, we have financed our operations primarily through the sale and issuance of our convertible preferred stock, proceeds from issuances of convertible notes to our collaboration partners, and upfront and milestone payments under our collaboration and license arrangements. The amount of our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losses will depend, in part, on the rate of our future expenditures and our ability to obtain funding through public or private equity or debt financings, government or other third-party grants, collaboration and licensing arrangements, asset sales, royalty financings, or a combination of these approaches. We have not completed clinical trials for any of our product candidates, and it will be several years, if ever, before we or our collaboration partners have a product candidate ready for commercialization. Even if we or our collaboration partners obtain regulatory approval to market a product, our future revenues will depend upon the size of any markets in which such product has received approval, and our ability to achieve sufficient market acceptance, reimbursement from third-party payors, and adequate market share in those markets. We may never achieve profitability.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to continue to incur significant expenses and increasing operating losses for the foreseeable future. We anticipate that our expenses will increase substantially if and as we: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advance our product candidates through preclinical and clinical development, including continuing the Phase 1 clinical trial for CITY-FXI and advancing other programs through preclinical and clinical development;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seek regulatory approvals from the FDA, European Medicines Agency (“EMA”), and/or other foreign comparable regulatory authorities (collectively, the “Regulatory Authorities”) for our product candidates that successfully complete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hire additional clinical, quality control, medical, scientific, and other technical personnel to support the clinical development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increase our headcount as we expand our research and development organization, market development and pre-commercial planning activities;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undertake activities to establish sales, marketing, and distribution capabilities in preparation for commercialization for our product candidates, as applicable, including hiring additional personnel to support such operations;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advance our preclinical-stage product candidates into clinical development;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seek to identify, acquire, and further develop additional product candidates where we can leverage our City Platform, our proprietary, integrated platform, for the development of next-generation RNAi therapeutics, including through business development efforts to invest in or in-license other technologies or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maintain, expand, and protect our intellectual property portfolio;</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make milestone, royalty, or other payments due under our collaboration and license agreements, and any future in-license or collaboration agreements with third parties; and incur additional legal, audit, regulatory, tax and other expenses associated with operating as a public company.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Biopharmaceutical product development entails substantial upfront capital expenditures and significant risk that a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biopharmaceutical products. We may encounter unforeseen expenses, difficulties, complications, delays and other known or unknown factors in achieving our business objectives.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development of our City Platform and the development and potential commercialization of our product candidates will require substantial additional capital to fund expenses. We have entered into collaboration agreements for certain programs and product candidates and may decide to collaborate for the future development and potential commercialization of other product candidates. For example,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2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are party to collaboration agreements with Bausch + Lomb and Biogen pursuant to which we conduct research activities to discover RNAi molecules and related product candidates, while our collaboration partners are primarily responsible for development activities. These agreements contemplate ongoing funding commitments by the parties, including our funding of certain research activities and, in the case of our collaboration with Bausch + Lomb, reimbursement by Bausch + Lomb of specified research costs. However, we cannot guarantee that either we or our collaboration partners will have sufficient funds to support the research and development activities contemplated by these agreements.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programs and product candidates or bring them to market and generate product revenue.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our expenses could increase beyond our expectations if we are required by Regulatory Authorities to perform clinical trials in addition to those that we currently have planned for, or if there are any delays in establishing appropriate manufacturing arrangements for our product candidates or in completing clinical trials for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2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never generated any revenue from sales of drug products, and our ability to generate revenue from sales of drug products and become profitable depends significantly on our success in a number of factors.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no drug products approved for commercial sale, have not generated any revenue from drug product sales, and do not anticipate generating any revenue from drug product sales until sometime after we have received regulatory approval, if obtained at all, for the commercial sale of our product candidates. Our ability to generate revenue and achieve profitability depends significantly on our success in many factors, including but not limited to: completing research regarding, and preclinical and clinical development of, our product candidates; obtaining regulatory approvals and marketing authorizations for product candidates for which we complete clinical studies; developing a sustainable and scalable manufacturing process for our product candidates, including establishing and maintaining commercially viable supply relationships with third parties and establishing our own manufacturing capabilities and infrastructure; launching and commercializing product candidates for which we obtain regulatory approvals and marketing authorizations; addressing any competing technological and market developments; identifying, assessing, acquiring and/or developing new product candidates, intellectual property and technologies; negotiating favorable terms in any collaboration, licensing, or other arrangements into which we may enter; maintaining, protecting, expanding and enforcing our portfolio of intellectual property rights, including patents, trademarks, trade secrets, and know-how; or attracting, hiring, and retaining qualified personnel.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if one or more of the product candidates that we develop is approved for commercial sale, we anticipate incurring significant costs associated with commercializing any approved product candidate. Our expenses could increase beyond expectations if we are required by Regulatory Authorities to change our manufacturing processes or assays, or to perform clinical, preclinical, or other types of studies in addition to those we currently anticipate. If we are successful in obtaining regulatory approvals to market one or more of our product candidates, our revenue will be dependent, in part, upon the size of the market for the relevant product, the accepted price for the product to be paid with out-of-pocket expenses and the ability to get reimbursement for any amount. If the number of patients with our addressable disease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If we are not able to generate revenue from the sale of any approved products, we may never become profitable.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Even if this offering is successful, we will require substantial additional capital to finance our operations in the future. If we are unable to raise such capital when needed, or on acceptable terms, we may be forced to delay, reduce or eliminate programs, product candidates (including clinical trials), or future commercialization efforts.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Developing biopharmaceutical products, including conducting preclinical studies and clinical trials, is a time-consuming, expensive and uncertain process that takes years to complete. We expect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expenses to continue to increase in connection with our ongoing activities, particularly as we conduct clinical trials of, and seek regulatory and marketing approval for, our product candidates. Even if our current or future product candidates are approved for commercial sale, we anticipate incurring significant costs associated with commercializing any approved product candidate. To date, we have funded our operations principally through the sale and issuance of our convertible preferred stock and convertible notes, as well as capital received from our collaboration and license arrangements. We expect our expenses to increase in connection with our ongoing activities, particularly as we continue the clinical and preclinical development of our product candidates, continue to identify additional targets using our City Platform, commence additional preclinical studies and clinical trials, and continue to identify and develop additional product candidates either through internal development or through acquisitions or in-licensing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June 30, 2026, we had cash, cash equivalents, and restricted cash of $      million. Based on our current operating plan, we believe that our existing cash and cash equivalents, together with the net proceeds from this offering, will be sufficient to meet our working capital and capital expenditure needs into             .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scope, timing, progress, costs, and results of discovery, preclinical development and clinical trials for our current or future product candidates and the effectiveness of our City Platform;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of clinical trials required for regulatory approval of our current or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timing, and outcome of regulatory review of any of our current or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associated with acquiring or in-licensing additional product candidates, technologies or assets, including the timing and amount of any milestones, royalties, or other payments due in connection with our acquisitions and in-licenses, as applicable;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 of manufacturing clinical and commercial supplies of our current or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maintain existing, and establish new, strategic collaborations, licensing or other arrangements on favorable terms, if at all, and the financial terms of any such agreements, including the timing and amount of any future milestone, royalty or other payments due to or payable by us thereunder and the extent to which we are obligated to reimburse, or entitled to reimbursement of, clinical trial costs under any such agreements, if 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and timing of future commercialization activities, including manufacturing, marketing, sales, and distribution, for any of our product candidates for which we receive marketing approval;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revenue, if any, received from commercial sales of our product candidates for which we receive marketing approval;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expenses to attract, hire, and retain skilled personnel;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of operating as a public company;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establish a commercially viable pricing structure and obtain approval for coverage and adequate reimbursement from third-party and government payors;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92">
                <wp:simplePos x="0" y="0"/>
                <wp:positionH relativeFrom="column">
                  <wp:align>left</wp:align>
                </wp:positionH>
                <wp:positionV relativeFrom="line">
                  <wp:posOffset>635</wp:posOffset>
                </wp:positionV>
                <wp:extent cx="254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effect of macroeconomic trends including inflationary pressures, tariffs, and fluctuating interest rates;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addressing any potential supply chain interruptions or delays;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effect of competing technological and market developments;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extent to which we acquire or invest in businesses, products, and technologies.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our expenses to continue to increase in connection with our ongoing activities, particularly as we identify, continue the research and development of, initiate preclinical studies and clinical trials of, and seek marketing approval for, our current or future product candidates, and we may never generate the necessary data or results required to obtain regulatory approval and achieve product sales. In addition, our current or future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additional fundraising efforts may divert our management from their day-to-day activities, which may adversely affect our ability to develop and commercialize our product candidates. We have no committed sources of additional capital and, if we are unable to raise additional capital in sufficient amounts or on terms acceptable to us, we may have to significantly delay, scale back or discontinue the development or commercialization of our current or future product candidates or other research and development initiatives. Without sufficient funding, our license agreements and any future collaboration agreements may also be terminated if we are unable to meet the payment or other obligations under such agreements.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Additionally, if we raise funds through additional collaborations, strategic alliances, or licensing arrangements with third parties, we may have to relinquish valuable rights to our technologies, future revenue streams, research programs, product candidates we develop, or we may have to grant licenses on terms that may not be favorable to us and/or that may reduce the value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Discovery, Development, Regulatory Approval and Potential Commercialization of Our Current or Future Product Candidates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approach we are taking to discover and develop certain of our product candidates is novel and may never lead to marketable products.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concentrated our research and development efforts on RNAi technology, and our future success depends on the successful development of this technology and products based on our City Platform.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scientific discoveries that form the basis for our efforts to develop product candidates based on our City Platform are relatively new. The scientific evidence to support the feasibility of developing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candidates based on these discoveries is both preliminary and limited. If we do not successfully develop and commercialize product candidates based upon our technological approach, we may not become profitable, and the value of our common stock may decline.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our focus solely on RNAi technology for developing drugs as opposed to multiple, more proven technologies for drug development increases the risks associated with the ownership of our securities. If we are not successful in developing any product candidates using RNAi technology, we may be required to change the scope and direction of our product development activities. In that case, we may not be able to identify and successfully implement an alternative product development strategy.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early in our development efforts. We have only recently initiated early clinical studies, and as a result it will be years before we commercialize a product candidate, if ever. If we are unable to identify and advance product candidates through preclinical studies and clinical trials, obtain marketing approval and ultimately commercialize them, or experience significant delays in doing so, our business will be materially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success of our business depends primarily upon our ability to identify, develop and commercialize product candidates. We are early in our development efforts and our lead product candidate, CITY-FXI, is in early clinical development and our other product candidates and development programs are in preclinical development or drug discovery stages. We have invested substantially all of our research efforts to date in developing our City Platform, identifying potential product candidates and conducting preclinical and early clinical studies. As an organization, we have limited experience in conducting and managing clinical trials necessary to obtain regulatory approvals, and we may be unable to do so for our current or future product candidates. While we have successfully completed IND- or IND</w:t>
        <w:noBreakHyphen/>
        <w:t>equivalent studies for CITY-FXI and have initiated a Phase 1 clinical trial to assess preliminary safety, tolerability, pharmacokinetic, and pharmacodynamic properties of CITY-FXI, we have not yet completed any clinical trials for CITY-FXI or any of our other product candidates to date. Additionally, we have a portfolio of current product candidates that are in earlier stages of discovery or preclinical development and may never advance to clinical-stage development. If we are able to advance these other product candidates into clinical development, we do not have experience managing multiple clinical trials simultaneously, working with global clinical trials, or working in multiple different disease indications. Our ability to achieve and sustain profitability depends on obtaining regulatory approvals for, and successfully commercializing our product candidates, either alone or with third parties, and we cannot guarantee you that we will ever obtain regulatory approval for any of our product candidates. Before obtaining regulatory approval for the commercial distribution of our product candidates, we must conduct extensive preclinical tests and clinical trials to demonstrate the safety and efficacy in humans of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not have the financial resources to continue development of, or the ability to enter into new collaborations for, a product candidate if we experience any issues that delay or prevent regulatory approval of, or our ability to commercialize, product candidates,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preclinical study results may show the product candidate to be less effective than desired or to have harmful or problematic side effects;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negative or inconclusive results from our clinical trials or the clinical trials of others for product candidates similar to ours, leading to a decision or requirement to conduct additional preclinical testing or clinical trials or abandon a program candidate;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product-related side effects experienced by patients in our clinical trials or by individuals using products similar to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third-party manufacturers’ inability to successfully manufacture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inability of any third-party contract manufacturer to scale up manufacturing of our product candidates and those of our collaborators to supply the needs of clinical trials or commercial sales;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submitting INDs, clinical trial authorization applications or other comparable foreign applications or delays or failures in obtaining the necessary approvals from regulators to commence a clinical trial, or a suspension or termination of a clinical trial once commenced;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preclinical studies conducted outside of the United States may be affected by tariffs or import/</w:t>
      </w:r>
      <w:r>
        <w:rPr>
          <w:rFonts w:ascii="Helvetica;Arial;sans-serif" w:hAnsi="Helvetica;Arial;sans-serif"/>
          <w:b w:val="false"/>
          <w:i w:val="false"/>
          <w:caps w:val="false"/>
          <w:smallCaps w:val="false"/>
          <w:color w:val="000000"/>
          <w:sz w:val="20"/>
        </w:rPr>
        <w:t>​</w:t>
      </w:r>
      <w:r>
        <w:rPr>
          <w:rFonts w:ascii="Helvetica;Arial;sans-serif" w:hAnsi="Helvetica;Arial;sans-serif"/>
          <w:b w:val="false"/>
          <w:i w:val="false"/>
          <w:caps w:val="false"/>
          <w:smallCaps w:val="false"/>
          <w:color w:val="000000"/>
          <w:spacing w:val="-2"/>
          <w:sz w:val="20"/>
        </w:rPr>
        <w:t>export restrictions imposed by the United States or other foreign governments;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03">
                <wp:simplePos x="0" y="0"/>
                <wp:positionH relativeFrom="column">
                  <wp:align>left</wp:align>
                </wp:positionH>
                <wp:positionV relativeFrom="line">
                  <wp:posOffset>635</wp:posOffset>
                </wp:positionV>
                <wp:extent cx="254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conditions imposed by Regulatory Authorities regarding the scope or design of our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enrolling patients in our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high drop-out rates of our clinical trial patients;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inadequate supply or quality of product candidate components or materials or other supplies necessary for the conduct of our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inability to obtain alternative sources of supply for which we have a single source for product candidate components or materials;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greater than anticipated costs of our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manufacturing costs, formulation issues, pricing or reimbursement issues, or other factors that no longer make a product candidate economically feasible;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harmful side effects or inability of our product candidates to meet efficacy endpoints during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to demonstrate a benefit-risk profile acceptable to Regulatory Authorities;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unfavorable Regulatory Authority inspection and review of any of the clinical trial sites or manufacturing facilities used in the testing and manufacture of any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of our third-party contractors or investigators to comply with regulatory requirements or otherwise meet their contractual obligations in a timely manner, or at all;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and changes in regulatory requirements, policy and guidelines, including the imposition of additional regulatory oversight around clinical testing generally or with respect to our technology in particular;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varying interpretations of our data by Regulatory Authorities.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4770" distB="0" distL="254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inability to complete development of, or commercialize our product candidates, or significant delays in doing so due to one or more of these factors, could have a material and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approach to the engineering and development of our programs is unproven, and we may not be successful in our efforts to identify and develop any programs and product candidates of commercial value by leveraging our City Platform.</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City Platform and our approach to RNAi trigger engineering and product candidate development utilize, among other things, our proprietary cityRNA trigger engineering capabilities and proprietary AI/ML molecular-design capabilities to discover, design and optimize RNAi trigger molecules and product candidates. Because our approach is proprietary and incorporates novel technologies, including our cityRNA trigger molecules, the cost and time required to discover and develop our product candidates can be difficult to predict, and our efforts may not result in the discovery and development of commercially viable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product candidate discovery and development efforts conducted using our City Platform may not be successful in identifying product candidates that have commercial value or therapeutic utility. Our City Platform may initially show promise in identifying, designing or optimizing RNAi trigger molecules and product candidates, yet fail to yield viable product candidates for preclinical development, clinical development or potential commercialization for a number of reasons,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programs to identify and optimize new RNAi trigger molecules and product candidates will require substantial technical, financial and human resources, and we may be unsuccessful in our efforts to identify or advance suitable product candidates. If we are unable to identify suitable product candidates for preclinical and clinical development, our ability to expand our pipeline and generate future revenues could be adversely affected;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candidates discovered or optimized using our City Platform may not demonstrate the expected potency, efficacy, safety, tolerability, pharmacokinetic or pharmacodynamic properties in preclinical studies or clinical trials, including because they may exhibit different biological, chemical or pharmacological properties in humans than they do in laboratory studies or otherwise interact with human biological systems in unforeseen, ineffective or potentially harmful ways;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18">
                <wp:simplePos x="0" y="0"/>
                <wp:positionH relativeFrom="column">
                  <wp:align>left</wp:align>
                </wp:positionH>
                <wp:positionV relativeFrom="line">
                  <wp:posOffset>635</wp:posOffset>
                </wp:positionV>
                <wp:extent cx="254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proprietary AI/ML molecular-design capabilities and the datasets on which they are based may not accurately predict the activity, potency or other characteristics of RNAi trigger molecules or otherwise improve our ability to identify or optimize product candidates, and any advantages demonstrated in laboratory testing may not translate into successful product candidate development;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candidates identified through our City Platform may, on further study, be shown to have harmful side effects, off-target activity or other characteristics that indicate they are unlikely to receive regulatory approval or achieve market acceptance;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competitors may develop alternative RNAi technologies, delivery approaches or other therapies that render our product candidates noncompetitive or less attractive;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potential product candidate may not be capable of being manufactured reliably, at commercial scale or at an acceptable cost.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we may seek to identify and develop product candidates based on novel RNAi trigger molecules, delivery technologies, targets and other approaches that are unproven. In particular, our cityRNA trigger molecules represent a novel class of RNAi trigger molecules, and there is no clinical experience with product candidates incorporating these trigger molecules. If our activities fail to identify suitable RNAi trigger molecules, targets or other technologies for product candidate development, or if such technologies prove to be unsuitable for treating human disease, we may not be able to develop viable additional product candidates. We and our existing or future collaborators may never receive regulatory approval to market and commercialize any product candidate. Even if we or an existing or future collaborator obtains regulatory approval, the approval may be for indications or patient populations that are not as broad as we intended or desired or may require labeling that includes significant use or distribution restrictions or safety warnings. If the product candidates resulting from our City Platform prove to be ineffective, unsafe or commercially unviable, our City Platform and product candidates would have little, if any, value, which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Preclinical and clinical drug development is a lengthy and expensive process, with uncertain timelines and outcomes. If preclinical studies or clinical trials of our product candidates are prolonged or delayed, we may be unable to obtain required regulatory approvals, and therefore be unable to commercialize our product candidates or any of our future product candidates on a timely basis or at all.</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Successful development of pharmaceutical products involves a lengthy and expensive process, is highly uncertain, and is dependent on numerous factors, many of which are beyond our control. Product candidates that appear promising in the early phases of development may fail to reach the market for several reasons,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trial results may show the product candidates to be less effective than expected (for example, a clinical trial could fail to meet its primary or key secondary endpoint(s)) or have an unacceptable safety or tolerability profile;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New Drug Application (“NDA”) or similar foreign application preparation, discussions with Regulatory </w:t>
      </w:r>
      <w:r>
        <mc:AlternateContent>
          <mc:Choice Requires="wps">
            <w:drawing>
              <wp:anchor behindDoc="0" distT="80010" distB="0" distL="254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Authorities, including Regulatory Authorities requesting additional preclinical or clinical data (such as long-term toxicology studies), or encountering unexpected safety or manufacturing issues;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preclinical study results may show the product candidate to be less effective than desired or to have harmful on-target or off-target side effects;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imposition of extensive post-marketing approval requirements;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proprietary rights of others and their competing products and technologies that may prevent our product candidates from being commercialized.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Furthermore, the length of time necessary to complete clinical trials and submit an application for regulatory approval for a final decision by a regulatory authority varies significantly from one product candidate to the next and from one country or jurisdiction to the next and may be difficult to predict. Even if we are successful in obtaining regulatory approval, commercial success of any approved products will also depend in large part on the availability of coverage and adequate reimbursement from third-party payors, including government payors such as the Medicare and Medicaid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 Even if we are able to obtain coverage and adequate reimbursement for our products once approved, there may be features or characteristics of our products, such as dose preparation requirements, that prevent our products from achieving market acceptance by the healthcare or patient communities.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 (“cGMPs”) and Good Clinical Practice (“GCPs”) for any clinical trials that we conduct post-approval. In addition, there is always the risk that we, a Regulatory Authority or a third party might identify previously unknown problems with a product post-approval, such as adverse events (“AEs”) of unanticipated severity or frequency. Compliance with these requirements is costly, and any failure to comply or other issues with our product candidates post-approval could adversely affect our business, financial condition and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encounter substantial delays in the commencement, enrollment or completion of our planned clinical trials or we may fail to demonstrate safety and efficacy to the satisfaction of applicable Regulatory Authorities, which could prevent us from commercializing any product candidates we determine to develop on a timely basis, if at all.</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risk of failure in developing product candidates is high. It is impossible to predict when or if any product candidate would prove effective or safe in humans or will receive regulatory approval. Before obtaining marketing approval from applicable Regulatory Authorities for the sale of any product candidate, we must complete preclinical development, submit an IND or comparable foreign application to permit initiation of clinical studies, and then conduct extensive clinical trials to demonstrate the safety and efficacy of product candidates in humans. We have not yet completed a clinical trial of any product candidate.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Before we can commence clinical trials for a product candidate, we must complete extensive preclinical testing and studies that support our INDs and other regulatory filings. We cannot be certain of the timely identification of a product candidate or the successful completion or outcome of our preclinical testing and studies and cannot predict whether Regulatory Authorities will accept our proposed clinical programs or whether the outcome of our preclinical testing and studies will ultimately support the further development of any product candidates. Conducting preclinical testing is a lengthy, time-consuming and expensive process. The length of time may vary substantially according to the type, complexity and novelty of the program, and often can be several years or more per program. As a result, we cannot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 sure that we will be able to submit INDs or other comparable foreign regulatory submissions for our preclinical programs on the timelines we expect, if at all, and we cannot be sure that submission of INDs will result in the FDA, competent authorities of Member States of the European Union (the “EU Member States”), or other comparable foreign regulatory filings will result in Regulatory Authorities allowing clinical trials to begin.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events that may prevent successful enrollment, initiation or timely completion of clinical development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be unable to generate sufficient preclinical, toxicology or other in vivo or in vitro data to support the initiation of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reaching a consensus with applicable Regulatory Authorities on trial design or implementation;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obtaining regulatory authorization to commence a clinical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reaching agreement on acceptable terms with prospective Contract Research Organizations (“CROs”), other vendors, or clinical trial sites, the terms of which can be subject to extensive negotiation and may vary significantly among different vendors and trial sites;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obtaining approval from one or more institutional review boards (“IRB”) or ethics committees refusing to approve, suspending or terminating the trial at an investigational site, precluding enrollment of additional participants, or withdrawing their approval of the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recruiting suitable patients to participate in our ongoing and planned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changes to the clinical trial protocol;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sites deviating from trial protocol or dropping out of a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manufacturing sufficient quantities of our product candidates for use in clinical trials, or delays in sufficiently developing, characterizing or controlling a manufacturing process suitable for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having our product candidates being shipped on time, clearing customs and arriving at clinical trial sites intact;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having patients complete participation in a trial or return for post-treatment follow-up;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participants choosing an alternative treatment for the indication for which we are developing our product candidates, or participating in competing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lack of adequate funding to continue a clinical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occurrence of AEs or serious adverse events (“SAEs”) associated with the product candidate that are viewed to outweigh its potential benefits;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occurrence of SAEs in clinical trials of the same class of agents conducted by other companies;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imposition of a temporary or permanent clinical hold by Regulatory Authorities;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selection of clinical trial end points that require prolonged periods of clinical observation or analysis of the resulting data;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trials producing negative or inconclusive results;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45">
                <wp:simplePos x="0" y="0"/>
                <wp:positionH relativeFrom="column">
                  <wp:align>left</wp:align>
                </wp:positionH>
                <wp:positionV relativeFrom="line">
                  <wp:posOffset>635</wp:posOffset>
                </wp:positionV>
                <wp:extent cx="254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facility manufacturing our product candidates or any of their components being ordered by the FDA or comparable foreign authorities to temporarily or permanently shut down due to violations of cGMP regulations or other applicable requirements, or contamination or cross-contaminations of product candidates in the manufacturing process;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third-party clinical investigators losing the licenses or permits necessary to perform our clinical trials, not performing our clinical trials on our anticipated schedule or consistent with the clinical trial protocol or other regulatory requirements or committing fraud;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changes in regulatory requirements, guidance, or feedback from Regulatory Authorities that require amending or submitting new clinical protocols or otherwise modifying the design of our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could also encounter delays if a clinical trial is suspended or terminated by us, by the IRBs or ethics committees overseeing the conduct of such trials, by a Data Safety Monitoring Board for such trial or by Regulatory Authorities. Such Regulatory Authorities may impose such a suspension or termination due to a number of factors, including failure to conduct the clinical trial in accordance with regulatory requirements or our clinical protocols, inspection of the clinical trial operations or trial site by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or ethics committees for reexamination and approval, which may impact the costs, timing or successful completion of a clinical trial.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conducting clinical trials in foreign countries, as we are doing and expect to continue to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requirements, as well as political, currency exchange and other economic risks relevant to such foreign countries. We may face delays in meeting our anticipated timelines for our ongoing and planned clinical trials, which could adversely affect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inability to successfully complete preclinical and clinical development could result in additional costs to us or impair our ability to generate revenue from future product sales and regulatory and commercialization milestones.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comparable products to market before we do, which could impair our ability to successfully commercialize our product candidates and may harm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expend our limited resources to pursue a particular product candidate and fail to capitalize on product candidates or indications that may be more profitable or for which there is a greater likelihood of success.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have limited financial and managerial resources, and to date, we have focused our research and development efforts on RNAi therapeutics targeting thromboembolic disease, Stargardt disease, and anemia of chronic disease. Correctly prioritizing our research and development activities is particularly important for us due to the breadth of potential product candidates and indications that we believe could be pursued by leveraging our City Platform. As a result, we may forgo or delay pursuit of opportunities with other product candidates or in other therapeutic areas that later prove to have greater commercial potential. Our resource allocation decisions may cause us to fail to timely capitalize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We must continually assess the potential commercial viability of our research programs and product candidates, and we may decide to pause or discontinue development of any of our product candidates based upon such assessments, even if we obtain positive data from our product candidates in preclinical studies and clinical trials. Similarly, our decisions to delay, terminate, or collaborate with third parties in respect of certain drug development programs may also prove not to be optimal and could cause us to miss valuable opportunities.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dependent on the success of our product candidates, including CITY-FXI, CITY-RBP4 and CITY-TFR2, and our ongoing and anticipated clinical trials may not be successful.</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future success is dependent on our ability to successfully develop and timely obtain marketing approval for, and then successfully commercialize, our current product candidates, including CITY-FXI, CITY-RBP4 and CITY-TFR2. We are investing a substantial portion of our financial and managerial resources in the development of CITY-FXI, our lead product candidate, as well as CITY-RBP4 and CITY-TFR2, including our ongoing Phase 1 clinical trial for CITY-FXI and our planned Phase 1 clinical trial initiation for CITY-RBP4 by     and our planned IND or IND-equivalent application submission for CITY-TFR2 by     .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product candidates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these product candidates, or any other product candidates, before we receive marketing approval from the applicable Regulatory Authorities, and we may never receive such marketing approvals.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success of our product candidates will depend on a variety of factors. We do not have control over many of these factors, including certain aspects of clinical development and the regulatory submission and review process, potential threats to our intellectual property rights and our manufacturing, marketing, distribution and sales efforts or those of any current or future collaborator. In addition, we do not have control over whether products that target the same indications as our product candidates are introduced, which could impact the competitiveness of our product candidates. Accordingly, we cannot assure you that we will ever be able to generate revenue through the sale of these product candidates, even if approved. If we are not successful in developing and commercializing CITY-FXI, CITY-RBP4 or CITY-TFR2, or any other product candidate, or are significantly delayed in doing so, our business will be materially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current and future clinical trials or those of our future collaborators may reveal significant AEs or undesirable side effects not seen in our preclinical studies and may result in a safety profile that could halt clinical development, inhibit regulatory approval, limit commercial potential, or market acceptance of any of our current or future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is typically an extremely high rate of attrition for product candidates across categories of medicines proceeding through clinical trials. These product candidates may fail to show the desired safety and efficacy or safety, purity and potency profile in later stages of clinical trials despite having progressed through preclinical studies and initial clinical trials. A number of companies in the 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Undesirable side effects caused by our product candidates, whether used alone or in combination with other therapies, could cause us or Regulatory Authorities to interrupt, delay or halt clinical trials and could result in a more restrictive label, if approved, or otherwise result in the delay or denial of regulatory approval by Regulatory Authorities. We may observe unexpected and undesirable safety or tolerability issues with our product candidates in ongoing or future clinical trials. For example, our most advanced product candidate, CITY-FXI, is being developed to be injected subcutaneously. There are risks inherent in subcutaneous injections, such as injection-site reactions (such as redness, itching, swelling, pain and tenderness) and other side effects.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significant AEs or unacceptable side effects are observed in any of our current or future clinical trials, we may have difficulty recruiting potential trial participants to any of our clinical trials, existing trial participants may withdraw from trials, or we may be required to abandon the trials or our development efforts of one or more product candidates altogether. We, Regulatory Authorities or an IRB or ethics committee, may impose a clinical hold,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any of our product candidates could result in harm to patients that are administered any of our product candidates. Even if the side effects do not preclude the drug from obtaining or maintaining marketing approval, unfavorable benefit risk ratio may inhibit market acceptance of the approved product due to its tolerability versus other therapies. In addition, an extended half-life could prolong the duration of undesirable side effects, which could also inhibit market acceptance. Any of these developments could materially harm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clinical trials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even if we successfully advance our product candidates or any future product candidates through clinical trials, such trials will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after approval. Further, any clinical trials may not be sufficient to determine the effect and safety consequences of using our product candidates over a multi-year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any of the foregoing events occur or if one or more of our product candidates prove to be unsafe, our entire pipeline or our City Platform could be affected, which would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our clinical trials fail to replicate positive results from earlier preclinical studies or clinical trials conducted by us or third parties, we may be unable to successfully develop, obtain regulatory approval for or commercialize our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results observed from preclinical studies or early-stage clinical trials of CITY-FXI or any other product candidates may not necessarily be predictive of the results of later-stage clinical trials that we conduct. Similarly, positive results from preclinical studies or early-stage clinical trials may not be replicated in our subsequent preclinical studies or clinical trials. For instance, the favorable safety profile and FXI knockdown observed in the initial first two cohorts of our ongoing Phase 1 clinical trial for CITY-FXI in healthy volunteers, together with the preclinical results observed in NHPs and cell-based assays, may not translate to similar results in later-stage clinical trials or in patients with thrombotic disease. In addition, the degree or duration of FXI knockdown, the safety profile, or any potential therapeutic benefit observed in healthy volunteers may not be replicated in larger or more diverse patient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populations, and future clinical trials may identify AEs or other findings that were not observed in our early-stage studies. Even if CITY-FXI demonstrates favorable safety and pharmacodynamic activity in our ongoing Phase 1 study, such results may not be sufficient to support advancement into later-stage clinical development or ultimately support regulatory approval. Furthermore, our product candidates may not be able to demonstrate similar activity or AE profiles as those observed in earlier studies and trials, and we may not have generated sufficient safety data to support a marketing application by the time of our targeted submission as other third-party products or product candidates that we believe may have similar profiles. In addition, in our planned future clinical trials, we may utilize clinical trial designs or dosing regimens that have not been tested in prior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can be no assurance that any of our clinical trials will ultimately be successful or support further clinical development of CITY-FXI or any other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adverse safety or efficacy observations made in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we intend to utilize an “open-label” clinical trial design for certain of our clinical trials.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preclinical and clinical data are often susceptible to varying interpretations and analyses and many companies that believed their product candidates performed satisfactorily in preclinical studies and clinical trials nonetheless failed to obtain approval from Regulatory Authorities.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time to time, we may publicly disclose interim, preliminary or topline data from our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made public. As a result, topline and preliminary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Further, disclosure of interim, topline or preliminary data by us or by our competitors could result in volatility in the price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manufacture of biopharmaceutical products is a complex process which requires significant expertise and capital investment, and if we encounter problems in our collaboration with third parties for the manufacture for clinical or commercial scale or in the manufacture of our future product candidates, our business could suffer.</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currently do not have cGMP manufacturing capabilities and we are entirely dependent on third-party contractors, including contract development and manufacturing organizations (“CDMOs”), to manufacture our product candidates for our clinical trials and preclinical studies, and we expect to rely on third-party CDMOs for the production of commercial quantities of our products in accordance with cGMP regulations if we obtain regulatory and marketing approvals. The manufacture of biopharmaceutical products is a complex process, in part due to strict regulatory requirements. If we are unable to identify and maintain collaboration with third-party CDMOs, or fail to do so in a timely manner or on advantageous terms, this may lead to significant delays in the clinical supply of our product candidates as well as the commercial manufacturing of our products once regulatory and marketing approvals have been obtained, if ever. In turn, this could delay our clinical trials, negatively impact our ability to ultimately obtain regulatory approval and materially harm any future commercialization plans. Additionally, we may not be able to establish our chemistry, manufacturing and controls (“CMC”) and quality control capabilities, which are essential for regulatory compliance and product quality assurance, and any failure to develop these capabilities, including any failure to recruit and retain and motivate qualified CMC and quality control personnel, could further delay our manufacturing and commercialization efforts.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since we have no history of commercializing pharmaceutical products, we may face additional challenges in developing qualified teams and acquiring the necessary expertise to oversee third-party manufacturing processes. Any delay or failure to establish adequate CMC, quality control and manufacturing oversight capabilities may result in problems that arise during the manufacturing process for a variety of reasons, including, but not limited to, equipment malfunction, failure to follow specific protocols and procedures, problems with (including shortage of) raw materials, global supply chain issues (such as trade barriers, export restrictions and other impediments to the cross-border movement of materials and goods), and limits to manufacturing capacity due to regulatory requirements, changes in the types of products produced, increases in the prices of raw materials, physical limitations that could inhibit continuous supply, man-made or natural disasters and environmental factors. If problems arise during the production of a batch of future products, that batch of future products may have to be discarded and we may experience product shortages or incur added expenses. This, as well as problems that may arise during the manufacturing process, could, among other things, lead to significant additional costs and/or delays, lost revenue, damage to customer relationships, time and expense spent investigating the cause and, depending on the cause, similar losses with respect to other batches or product candidates. If problems are not discovered before such product is released to the market, recall and product liability costs may also be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future growth may depend, in part, on our ability to operate in foreign markets, where we would be subject to additional regulatory burdens and other risks and uncertainties.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future growth may depend, in part, on our ability to develop and commercialize our product candidates in foreign markets for which we may rely on collaboration with third parties. Recent and ongoing changes in the United States trade policy with foreign countries, including the continued uncertainty surrounding United States tariffs and potential retaliatory measures by foreign governments may disrupt the global supply chain for biopharmaceutical products. For example, in September 2025, President Trump announced plans to impose 100% tariffs on imported branded or patented pharmaceuticals, unless the importing company is building United States manufacturing capacity. It is not yet clear whether these tariffs would apply to the importation of active pharmaceutical ingredients (“APIs”) and possibly bulk drug products that are intended for use in clinical trials and not for commercial sale, which could increase the costs of materials for our clinical trials. Any direct tariffs, if imposed on pharmaceutical products, may result in increased costs for raw materials and contract manufacturing services, reduced ability to source critical CDMO arrangements, and a delay in our development timelines.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biopharmaceutical market is intensely competitive. If we or our collaborators are unable to compete effectively with existing drugs, new treatment methods, and new technologies, including with respect to our specific product candidates CITY-FXI, CITY-RBP4 and CITY-TFR2, we may be unable to successfully commercialize any drugs that we develop.</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biopharmaceutical industry is characterized by rapidly advancing technologies, intense competition, and a strong emphasis on proprietary and novel products and product candidates. We face a broad spectrum of current and potential competitors, ranging from very large, global pharmaceutical companies with significant resources to other biotechnology companies with resources and expertise comparable to our own. We believe that for most or all of our drug development programs, there will be one or more competing programs in other companies. In many cases, the companies with competing programs will have access to greater resources and expertise than we do and may be more advanced. As RNAi therapies expand beyond rare diseases to other more common conditions, an increasing number of companies are investing in and developing RNAi therapeutics, as well as potentially new approaches that may result in more rapid development of RNAi therapeutics or more effective technologies for RNAi drug development or delivery. Companies that have developed, or are developing, siRNA therapeutics include ADARx Pharmaceuticals, Inc., Alnylam, Amgen Inc., Argo Biopharmaceutical Co., Ltd., Aro Biotherapeutics Co., Arrowhead Pharmaceuticals, Inc., AstraZeneca plc, Dyne Therapeutics, Inc., Eli Lilly and Company, GlaxoSmithKline plc, Ionis Pharmaceuticals, Inc., Novartis AG, Novo Nordisk A/S, SanegeneBio Inc., Sarepta Therapeutics, Inc., Silence Therapeutics plc, and Sirius Therapeutics, Inc. Many of our competitors have: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substantially greater financial, technical and human resources than we have;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 extensive experience in preclinical testing, conducting clinical trials, obtaining regulatory approvals and in manufacturing, marketing and selling products;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candidates that are based on previously tested or accepted technologies;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products that have been approved or are in late stages of development;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52">
                <wp:simplePos x="0" y="0"/>
                <wp:positionH relativeFrom="column">
                  <wp:align>left</wp:align>
                </wp:positionH>
                <wp:positionV relativeFrom="line">
                  <wp:posOffset>635</wp:posOffset>
                </wp:positionV>
                <wp:extent cx="254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collaborative arrangements in our target markets with leading companies and research institutions.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Accordingly, our competitors may be more successful than us in obtaining patent protection, regulatory exclusivities or FDA approval and may commercialize products or achieve widespread market acceptance more rapidly than we do, which may impact future approvals or sales of our product candidates that receive regulatory approval. If the FDA approves the commercial sale of our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among other factors. Our profitability and financial position will suffer if our product candidates receive regulatory approval but cannot compete effectively in the marketplace. Our competitors have developed, are developing or may develop product candidates and products competitive with CITY-FXI, CITY-RBP4 and CITY-TFR2 and our other programs and product candidates. CITY-FXI, CITY-RBP4 and CITY-TFR2 and any future product candidates that we successfully develop and commercialize will compete with existing therapies and new therapies that may become available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lead product candidate, CITY-FXI, is being developed for thromboembolic diseases through silencing of coagulation FXI. Multiple therapeutic approaches targeting FXI are currently in development, including small molecules, monoclonal antibodies and RNAi therapeutics. Companies active in this field include ADARx Pharmaceuticals, Inc., Bayer AG, Bristol-Myers Squibb Company, CRISPR Therapeutics AG partnered with Sirius Therapeutics, Inc., Johnson &amp; Johnson, Novartis AG, Regeneron Pharmaceuticals, Inc., and others. CITY-RBP4 is being developed for Stargardt disease, for which current treatment options are limited. Numerous companies are developing potential therapies for Stargardt disease using a variety of approaches, including visual cycle modulation, gene therapy, gene editing and RNA-based therapeutics. Companies active in this area include Alkeus Pharmaceuticals, Inc., Belite Bio, Inc. and others. CITY-TFR2 is being developed for anemia of chronic disease. Therapeutic approaches under development or in clinical use include hepcidin-targeted agents, including a monoclonal antibody from Disc Medicine, Inc., erythropoiesis-stimulating agents, hypoxia-inducible factor prolyl hydroxylase inhibitors, iron replacement therapies and other approaches intended to improve iron availability or erythropoiesis.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drugs may be more effective, safer, less expensive or marketed and sold more effectively, than any products we develop. 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successfully develop any product candidates, and obtain approval for them, we expect to face competition based on many different factors, including: the safety and effectiveness of our products relative to alternative therapies, if any; the ease with which our products can be administered and the extent to which patients accept relatively new routes of administration; the timing and scope of regulatory approvals for these product candidates; the availability and cost of manufacturing, marketing and sales capabilities; the price of any approved product; reimbursement coverage; and patent position. See the section titled “</w:t>
      </w:r>
      <w:r>
        <w:rPr>
          <w:rFonts w:ascii="Helvetica;Arial;sans-serif" w:hAnsi="Helvetica;Arial;sans-serif"/>
          <w:b w:val="false"/>
          <w:i/>
          <w:caps w:val="false"/>
          <w:smallCaps w:val="false"/>
          <w:color w:val="000000"/>
          <w:spacing w:val="-2"/>
          <w:sz w:val="20"/>
        </w:rPr>
        <w:t>Business — Competition</w:t>
      </w:r>
      <w:r>
        <w:rPr>
          <w:rFonts w:ascii="Helvetica;Arial;sans-serif" w:hAnsi="Helvetica;Arial;sans-serif"/>
          <w:b w:val="false"/>
          <w:i w:val="false"/>
          <w:caps w:val="false"/>
          <w:smallCaps w:val="false"/>
          <w:color w:val="000000"/>
          <w:spacing w:val="-2"/>
          <w:sz w:val="20"/>
        </w:rPr>
        <w:t>” included elsewhere in this prospectus for examples of the competition that we face.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our competitors may develop partnership, collaboration and licensing arrangements with or receive funding from larger pharmaceutical or biotechnology companies, providing them with an advantage over us. Our competitors may also succeed in developing, acquiring or licensing technologies and drug products that are more effective or less costly than our product candidates, which could render our product candidates obsolete and noncompetitive. Our competitors may therefore be more successful in commercializing their products than we are, which could adversely affect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competitive position and business. Competitive products may make any products we develop obsolete or noncompetitive before we can recover the expenses of developing and commercializing our products, if approved.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Moreover, we may also compete with universities, governmental agencies and other public and private research institutions that may be active in research in our target indications and could be in direct competition with us. These third parties compete with us in recruiting and retaining qualified scientific, management and clinical development personnel and establishing clinical trial sites, as well as in acquiring technologies complementary to, or necessary for, our product candidates, and in identifying and in-licensing intellectual property related to new product candidates, as well as entering into partnerships, collaborations and other license arrangements. Our inability to compete successfully for such personnel, sites, intellectual property and arrangements could negatively affect our level of expertise and our ability to execute our business plan.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and our collaborators face competition from other companies that are working to develop novel drugs and technology platforms using technology similar to ours, as well as from companies utilizing emerging technologies. If these companies develop drugs more rapidly than we or our collaborators do or their technologies, including delivery technologies, are more effective, our and our collaborators’ ability to successfully commercialize our products may be adversely affected.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competition from companies developing therapies for the same indications, we and our collaborators face competition from other companies developing RNAi therapeutics and other technologies that compete more directly with our own. As RNAi therapies expand beyond rare diseases to other more common conditions, an increasing number of companies are investing in and developing RNAi therapeutics, as well as potentially new approaches that may result in more rapid development of RNAi therapeutics or more effective technologies for RNAi drug development or delivery. We are aware of several other companies that are working to develop RNAi therapeutics. Some of these companies are seeking, as we are, to develop chemically synthesized siRNAs as drugs. Others are following a gene therapy approach, with the goal of treating patients with synthetic, exogenously-introduced genes designed to produce siRNA-like molecules within cells. Our competitors may develop RNAi technology more rapidly and more effectively than we do.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competition with respect to RNAi and specific product candidates, we face substantial competition to discover and develop safe and effective means of delivering RNAi therapeutics to the relevant cells and tissues. If our competitors develop superior or more effective delivery technologies, our ability to successfully develop and commercialize our product candidates could be adversely affected. In addition, third parties, including private companies and academic institutions, are expending substantial resources to discover and develop safe and effective means of delivering RNAi therapeutics to the relevant cells and tissues. Some of our competitors have substantially greater resources than we do, and if they obtain exclusive rights to delivery technologies developed by third parties, our ability to develop and successfully commercialize our product candidates could be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the market opportunities for our product candidates are smaller than we believe they are, our revenue may be adversely affected and our business may suffer.</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estimates of market opportunity and forecasts of market growth included in documents that we file with the SEC may prove to be smaller than we believe, and even if the markets in which we compete achieve the forecasted growth, our business may not grow at similar rates, or at all. Our pipeline is focused on developing RNAi therapeutics designed to suppress disease-relevant hepatic and extra-hepatic targets for diseases with significant unmet medical need, including thromboembolic disease, Stargardt disease, and anemia of chronic disease. Our projections of both the number of people who have these diseases, as well as the subset of people with these diseases who have the potential to benefit from treatment with our product candidates, are based on estimates and independent market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industry and general publications obtained from third parties. Market opportunity estimates and growth forecasts included in this prospectus and the other documents that we file with the SEC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indications. Additionally, the potentially addressable patient population may not ultimately be amenable to treatment with our product candidate if we cannot achieve our intended dosing interval. Our market opportunity may also be limited by current and future products of our competitors that are already available in the market or may enter the market for such patients. If any of our estimates prove to be inaccurate, the market opportunity for our product candidates could be significantly diminished and have an adverse material impact on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market may not be receptive to our product candidates based on a novel therapeutic modality, and we may not generate any future revenue from the sale, licensing, or royalties related to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if approval is obtained for a product candidate, we may not generate or sustain revenue from sales, licensing, or royalties related to the product due to factors such as whether the product can be sold at a competitive cost and otherwise accepted in the market. The product candidates that we are developing are based on new technologies and therapeutic approaches. Market participants with significant influence over acceptance of new treatments, such as physicians and third-party payors, may not adopt a treatment based on siRNA technology for the indications we are targeting, and we may not be able to convince the medical community and third-party payors to accept and use, or to provide favorable reimbursement for, our product candidates. Market acceptance of our product candidates will depend on, among other factors: the timing of our receipt of any marketing and commercialization approvals; the terms of any approvals and the countries in which approvals are obtained; the clinical indications for which our product candidates are approved; the safety and efficacy of our product candidates, and physicians’ and patients’ perception of our product candidates as a safe and effective treatment; the frequency and severity of any adverse side effects associated with our product candidates; limitations or warnings contained in any labeling approved by Regulatory Authorities; relative convenience and ease of administration of our product candidates; the willingness of patients to accept any new methods of administration; the success of our physician education programs; the availability of adequate government and third-party payor reimbursement; the pricing of our products, particularly as compared to alternative treatments; the potential and perceived advantages of our product candidates over alternative treatments; availability of alternative effective treatments for the disease indications our product candidates are intended to treat and the relative risks, benefits and costs of those treatments; the inclusion in government-sponsored medical insurance programs, or by third-party payors; the willingness of patients to pay out-of-pocket in the absence of coverage and reimbursement by third-party payors and government authorities; and the effectiveness of our sales and marketing efforts.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 our focus on the growing field of RNAi therapeutics, these risks may increase to the extent the space becomes more competitive or less favored in the commercial marketplace. Market size is also a variable in disease indications not classified as rare. Our estimates regarding potential market size for any indication may be materially different from what we discover to exist at the time it commences commercialization, if any, for a product, which could result in significant changes in our business plan and have a material adverse effect on our business, financial condition, results of operations and prospects. Even if a potential product displays a favorable efficacy and safety profile in preclinical and clinical studies, market acceptance of the product will not be fully known until after it is launched. Our efforts to educate the medical community and third-party payors on the benefits of the product candidates may require significant resources and may never be successful. If our product candidates are approved but fail to achieve an adequate level of acceptance by physicians, patients, third-party payors, and others in the medical community, we will not be able to generate sufficient revenue for us to become or remain profitable.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Also, we may not generate any future revenue from the sale or licensing of product candidates as we have no track record with no experience in launching and marketing approved drugs. Our financial performance depends on the successful development, regulatory approval and subsequent launching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and marketing of our product candidates, which are in early-stage clinical and preclinical development. As all of our drug candidates are in the development stage, we have not yet demonstrated an ability to commercialize any of our drug candidates, if approved. Our ability to successfully commercialize approved drugs may involve more inherent risk, take longer, and cost more than it would if we were a company with experience launching and marketing approved drugs.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decide to build up our in-house commercialization and distribution capabilities to maximize our product offering and expedite market acceptance of our products. In such case, we will have to compete with other pharmaceutical and biopharmaceutical companies to recruit, hire, train and retain marketing and sales personnel. There can be no assurance that we will be able to develop and successfully maintain in-house sales and commercial distribution capabilities to successfully commercialize any of our product candidates, if and when approved, and as a result, we may not be able to generate sales revenue as planned.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unable to, or decide not to, develop internal sales, marketing and commercial distribution capabilities, we will likely pursue collaborative arrangements regarding the sales and marketing of our approved drugs. However, there can be no assurance that we will be able to establish or maintain such collaborative arrangements, or that we will have effective sales forces after establishing such collaborative arrangements. Any revenue we receive will depend upon the efforts of such third parties. We would have little or no control over the marketing and sales efforts of such third parties, and our revenue from product sales may be lower than if we had commercialized our product candidates ourselves in a cost-effective manner. We also face competition in our search for third parties to assist us with the sales and marketing efforts for our product candidates. In case we cannot develop and successfully maintain in-house sales and commercial distribution capabilities or collaborate with third parties to successfully commercialize our products, we may not be able to generate product sales revenue and our business and prospects may suffer.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insurance coverage and reimbursement status of newly approved products, in a new category of medicines, is uncertain. Failure to obtain or maintain adequate coverage and reimbursement for new or current products could limit our ability to market those products and decrease our ability to generate revenue.</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availability and extent of reimbursement by governmental and private payors is essential for most patients to be able to afford expensive treatments such as the products that we hope to develop and sell. Sales of our product candidates, if approved and commercialized,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Even if coverage is provided, the approved reimbursement amount may not be high enough to allow us to establish or maintain pricing sufficient to realize a sufficient return on our investment in any of our products. If reimbursement is not available, or is available only to limited levels, we may not be able to successfully commercialize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is significant uncertainty related to the insurance coverage and reimbursement of newly approved products.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United States, no uniform policy of coverage and reimbursement for products exists among third-party payors. The Centers for Medicare &amp; Medicaid Services (“CMS”), an agency within the United States Department of Health and Human Services (“HHS”), determines whether and to what extent a new medicine will be covered and reimbursed under Medicare. Private payors tend to follow CMS to a substantial degree. It is difficult to predict what CMS will decide with respect to reimbursement for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our product candidates that we commercialize and, if reimbursement is available, the level of reimbursement. In addition, many biopharmaceutical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Outside the United States, certain countries, including a number of EU Member States, set prices and reimbursement for pharmaceutical products, or medicinal products, as they are commonly referred to in the European Union, with limited participation from the marketing authorization holders. Reimbursement agencies in Europe may be more conservative than CMS. For example, a number of cancer drugs have been approved for reimbursement in the United States and have not been approved for reimbursement in certain European countries. We cannot be sure that such prices and reimbursement will be acceptable to us or our collaboration partners. If Regulatory Authorities in these foreign jurisdictions set prices or reimbursement levels that are not commercially attractive for us or our collaboration partners, our revenues from sales by us or our collaboration partners and the potential profitability of our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Additionally, the requirements governing product pricing vary widely from country to country. Some countries require approval of the sale price of a product before it can be marketed, while in others,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our product candidates. Historically, products launched in the European Union do not follow price structures of the United States and generally prices tend to be significantly lower.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to experience pricing pressures in connection with the sale of any of our product candidates, if approved and commercialized,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The implementation of cost containment measures or other healthcare reforms may prevent us from being able to generate revenue, attain profitability or commercialize our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caps w:val="false"/>
          <w:smallCaps w:val="false"/>
          <w:color w:val="000000"/>
          <w:sz w:val="20"/>
        </w:rPr>
      </w:pPr>
      <w:r>
        <w:rPr>
          <w:rFonts w:ascii="Helvetica;Arial;sans-serif" w:hAnsi="Helvetica;Arial;sans-serif"/>
          <w:b w:val="false"/>
          <w:i w:val="false"/>
          <w:caps w:val="false"/>
          <w:smallCaps w:val="false"/>
          <w:color w:val="000000"/>
          <w:spacing w:val="-2"/>
          <w:sz w:val="20"/>
        </w:rPr>
        <w:t>For more information on the laws and regulations that may impact coverage and reimbursement of our product candidates, see the section titled “</w:t>
      </w:r>
      <w:r>
        <w:rPr>
          <w:rFonts w:ascii="Helvetica;Arial;sans-serif" w:hAnsi="Helvetica;Arial;sans-serif"/>
          <w:b w:val="false"/>
          <w:i/>
          <w:caps w:val="false"/>
          <w:smallCaps w:val="false"/>
          <w:color w:val="000000"/>
          <w:spacing w:val="-2"/>
          <w:sz w:val="20"/>
        </w:rPr>
        <w:t xml:space="preserve">Business — Government Regulation — Coverage and Reimbursement” </w:t>
      </w:r>
      <w:r>
        <w:rPr>
          <w:rFonts w:ascii="Helvetica;Arial;sans-serif" w:hAnsi="Helvetica;Arial;sans-serif"/>
          <w:b w:val="false"/>
          <w:i w:val="false"/>
          <w:caps w:val="false"/>
          <w:smallCaps w:val="false"/>
          <w:color w:val="000000"/>
          <w:spacing w:val="-2"/>
          <w:sz w:val="20"/>
        </w:rPr>
        <w:t xml:space="preserve">and “— </w:t>
      </w:r>
      <w:r>
        <w:rPr>
          <w:rFonts w:ascii="Helvetica;Arial;sans-serif" w:hAnsi="Helvetica;Arial;sans-serif"/>
          <w:b w:val="false"/>
          <w:i/>
          <w:caps w:val="false"/>
          <w:smallCaps w:val="false"/>
          <w:color w:val="000000"/>
          <w:spacing w:val="-2"/>
          <w:sz w:val="20"/>
        </w:rPr>
        <w:t xml:space="preserve">Healthcare Reform and Other Regulatory Changes” </w:t>
      </w:r>
      <w:r>
        <w:rPr>
          <w:rFonts w:ascii="Helvetica;Arial;sans-serif" w:hAnsi="Helvetica;Arial;sans-serif"/>
          <w:b w:val="false"/>
          <w:i w:val="false"/>
          <w:caps w:val="false"/>
          <w:smallCaps w:val="false"/>
          <w:color w:val="000000"/>
          <w:spacing w:val="-2"/>
          <w:sz w:val="20"/>
        </w:rPr>
        <w:t>included elsewhere in the prospectus.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operations, including our relationships with healthcare providers, physicians and third-party payers, are subject to applicable anti-kickback, fraud and abuse, and other healthcare laws and regulations, which, in the event of a violation, exposes us to liability for criminal sanctions, civil penalties, and contractual damages, and reputational harm and diminished profits and future earnings.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operations, including any arrangements that we enter into with healthcare providers, physicians, and third-party payers, are subject to broadly applicable fraud and abuse and other healthcare laws and regulations. Such laws and regulations, including applicable United States federal and state healthcare laws and regulations, as well as foreign laws, such as the federal Anti-Kickback Statute, the False Claims Act, the Health Insurance Portability and Accountability Act of 1996 (“HIPAA”), the Physician Payments Sunshine Act, or the Foreign Corrupt Practices Act, may constrain our operation and the business or financial arrangements through which we can market, sell and distribute any product candidates for which we obtain marketing approval. For more information, please see “</w:t>
      </w:r>
      <w:r>
        <w:rPr>
          <w:rFonts w:ascii="Helvetica;Arial;sans-serif" w:hAnsi="Helvetica;Arial;sans-serif"/>
          <w:b w:val="false"/>
          <w:i/>
          <w:caps w:val="false"/>
          <w:smallCaps w:val="false"/>
          <w:color w:val="000000"/>
          <w:spacing w:val="-2"/>
          <w:sz w:val="20"/>
        </w:rPr>
        <w:t>Business — Government Regulation and Product Approval-Other Healthcare Laws and Compliance Requirements</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Efforts to confirm that our business arrangements with third parties comply with applicable healthcare laws and regulations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become subject to significant civil, criminal and administrative penalties, damages, fines, imprisonment, exclusion of products from government funded healthcare programs, such as Medicare and Medicaid, and the curtailment or restructuring of our operations, and compliance and reporting obligations that could adversely affect our revenues, financial condition or results of operations. 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fail to comply with environmental, health and safety laws and regulations, we could become subject to fines or penalties or incur costs that could harm our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and our current and future third-party CDMOs are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allegations that may be asserted against us in connection with our storage or disposal of biological or hazardous materials.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with respect to the operations of our current and any future CDMOs,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In addition, our supply chain may be adversely impacted if any of our CDMOs become subject to injunctions or other sanctions as a result of their non-compliance with environmental, health and safety laws and regulations.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Government Regulatory and Legal Requirements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While we may in the future seek designations for our product candidates with Regulatory Authorities that are intended to confer benefits such as a faster development process, a streamlined review or regulatory exclusivity, there can be no assurance that we will successfully obtain such designations. In addition, even if our product candidates are granted such designations, we may not be able to realize the intended benefits of such designations, or maintain such designations.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Regulatory Authorities offer certain designations for product candidates that are designed to encourage the research and development of product candidates that are intended to address serious conditions. These designations may confer benefits such as additional interaction with Regulatory Authorities, streamlined development pathways and expedited review procedures. However, there can be no assurance that we will qualify for or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in the absence of obtaining certain designations, a sponsor can seek priority review at the time of submitting a marketing application. The FDA may designate an application for priority review if the product is intended to treat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acting on a marketing application from ten months to six months. Priority review designation may be rescinded if a product no longer meets the qualifying criteria.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in the future seek orphan drug designation for our product candidates. However, even if we obtain orphan drug designation, we may be unable to maintain the associated benefits, including the potential for market exclusivity.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seek orphan drug designation or exclusivity in certain indications targeted by our current or future product candidates. Regulatory authorities in some jurisdictions, including the United States and Europe, may designate drugs for relatively small patient populations as orphan drugs. For example, under the Orphan Drug Act, the FDA may designate a product candidate as an orphan drug if it is intended to treat a rare disease or condition. In order for the FDA to grant orphan drug exclusivity to one of our product candidates, the agency must find that the product candidate is indicated for the treatment of a condition or disease that affects fewer than 200,000 individuals in the U.S. or that affects 200,000 or more individuals in the U.S. and for which there is no reasonable expectation that the cost of developing and making the product candidate available for the disease or condition will be recovered from sales of the product in the U.S. Orphan drug designation must be requested before submitting an NDA. The FDA may conclude that the condition or disease for which we seek orphan drug exclusivity does not meet the required standard.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 product that has orphan drug designation subsequently receives the first FDA approval for a particular drug for the disease for which it has such designation, the product is entitled to orphan product exclusivity, which means that the FDA may not approve any other applications to market the same drug for the same indication for seven years, except in limited circumstances, such as if the FDA finds that the holder of the orphan drug exclusivity has not shown that it can assure the availability of sufficient quantities of the orphan drug to meet the needs of patients with the disease or condition for which the drug was designated.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In the U.S.,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similar regulatory scheme governs approval of orphan product candidates by the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(as applicable) from approving another marketing application for the same or another similar product candidate for the same orphan therapeutic indication for that time period. The applicable period is seven years in the U.S. and ten years in the European Union. The exclusivity period in the European Union can be reduced to six years if at the end of the fifth year it is determined that a product no longer meets the criteria for orphan designation, including if the product is sufficiently profitable so that market exclusivity is no longer justified.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encounter risks associated with our planned investigator-initiated trial in China for CITY-TFR2, which could delay or adversely affect the development of CITY-TFR2.</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development strategy for CITY-TFR2 includes a planned IIT in China to establish initial clinical proof of concept in patients with anemia associated with myelofibrosis. We expect the IIT to complement our planned IND or IND-equivalent application submission and Phase 1/2 clinical trial in the United States and other geographies. Because the IIT is an important component of our early clinical development strategy for CITY-TFR2, delays, operational challenges, regulatory issues, or an inability to obtain or utilize data from the IIT could delay the development of CITY-TFR2, affect our ability to advance the program into later-stage clinical development, or otherwise adversely affect our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support an IIT in China through collaborations with local investigators and CROs. Although such trial may be conducted in accordance with applicable regulations and GCP standards, and we may contractually retain significant oversight regarding trial design, safety monitoring, and access to trial data, given the nature of IITs, we may have less control over trial conduct, protocol implementation, regulatory interactions, data collection, reporting practices and compliance activities than we would in a company-sponsored clinical trial.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research conducted in China is subject to local laws, regulations, ethics committee approvals and governmental oversight, which may differ from those in the United States, Europe or other jurisdictions. Regulatory requirements, interpretations and enforcement practices may change, and we may experience delays in obtaining approvals, enrolling patients, collecting or transferring data, or completing the study. In addition, geopolitical tensions, trade restrictions, obligations related to data privacy and security, cross-border data transfer regulations or other governmental actions could adversely affect our ability to oversee the trial, access trial data or use resulting data to support future regulatory submissions. Additionally, recent policy proposals in the United States may make acceptance by the FDA or inclusion in a marketing application of foreign data more difficult or costly.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IIT is delayed, suspended, terminated, conducted inconsistently with applicable requirements, produces data that Regulatory Authorities do not accept, raises safety concerns or results in AEs, or if the IIT does not generate clinical proof-of-concept data sufficient to support the continued development of CITY-TFR2 or inform our planned Phase 1/2 clinical trial, our development programs, regulatory strategy, business, financial condition, results of operations and prospects could be materially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Regulatory Authorities may not accept data from clinical trials conducted outside the United States, which could require us to conduct additional clinical trials and delay the development or approval of our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part of our global development strategy, some clinical trials are being conducted outside the United States, including our planned IIT for CITY-TFR2 in patients with anemia associated with myelofibrosis in China. We may conduct additional clinical trials for our current or future product candidates outside the United States. Although data from such trials may support our development programs, there can be no assurance that Regulatory Authorities will accept data generated outside their jurisdictions to support regulatory approval.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acceptance of data from clinical trials conducted outside the United States or another jurisdiction by Regulatory Authorities may be subject to certain conditions or may not be accepted at all. In cases where data from foreign clinical trials are intended to serve as the basis for marketing approval in the United States, regardless of whether such trials were conducted under an IND, the FDA will generally not approve the application on the basis of foreign data alone unless the data are applicable to the United States population and United States medical practice, the trials were performed by clinical investigators of recognized competence and pursuant to GCP regulations, and the FDA can validate the data through on-site inspections or other appropriate means. Many foreign Regulatory Authorities have similar approval requirements, including in relation to the use of data from clinical trials conducted in foreign jurisdictions. In addition, such foreign trials are subject to the applicable local laws of the foreign jurisdictions where the trials are conducted.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can be no assurance that Regulatory Authorities will accept data from trials conducted outside the United States or the applicable jurisdiction. If Regulatory Authorities do not accept such data, including data from our planned IIT in China, we may be required to conduct additional clinical trials, which could be costly and time-consuming and could delay or prevent the development, regulatory approval or commercialization of our product candidates in the applicable jurisdiction. Additionally, recent policy proposals in the United States may make acceptance by the FDA or inclusion in a marketing application of foreign data more difficult or costly.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Where appropriate, we may seek approval from Regulatory Authorities through the use of expedited approval pathways, such as accelerated approval or comparable foreign abbreviated pathways.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or approval following comparable foreign abbreviated pathways by foreign Regulatory Authorities, if our confirmatory trials do not verify clinical benefit, or if we do not comply with rigorous post-marketing requirements, the FDA or such Regulatory Authorities may seek to withdraw the accelerated approval.</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Where appropriate, we may seek approval from Regulatory Authorities through the use of expedited approval pathways, such as accelerated approval or comparable foreign abbreviated pathways. There can be no assurance that we will decide to pursue, or that Regulatory Authorities will grant, such expedited approvals. Regulatory Authorities may require us to conduct additional preclinical studies or clinical trials beyond those that we contemplate, which could increase the expense of obtaining, and delay the receipt of, necessary marketing approvals. Even if we receive accelerated approval from the FDA or approval following comparable foreign abbreviated pathways by foreign Regulatory Authorities, our approval may be subject to post-marketing requirements, including confirmatory trials, and may be withdrawn if such requirements are not satisfied or clinical benefit is not verified.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granted, accelerated approval is usually contingent on the sponsor’s agreement to conduct, in a diligent manner, additional post-approval confirmatory studies to verify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act, such as issuing fines, against companies that fail to conduct with due diligence any post-approval confirmatory study or submit timely reports to the agency on their progress.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seeking accelerated approval, or approval following comparable foreign abbreviated pathways, we would seek feedback from Regulatory Authorities and would otherwise evaluate our ability to seek and receive such accelerated approval or approval following comparable foreign abbreviated pathways. 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Regulatory Authorities, we will continue to pursue or apply for accelerated approval or any other form of expedited development, review or approval, even if we initially decide to do so. Furthermore, if we decide to apply for accelerated approval, or comparable foreign abbreviated pathways, there can be no assurance that such application will be accepted or that any approval will be granted on a timely basis, or at all. Regulatory Authorities could also require us to conduct further studies prior to considering our application or granting approval of any type, including, for example, if other products are approved via the accelerated pathway, or comparable foreign abbreviated pathway, and subsequently converted by Regulatory Authorities to full approval. A failure to obtain accelerated approval or any other form of expedited development, review or approval for our product candidate would result in a longer period to commercialization of such product candidate, could increase the cost of development of such product candidate and could harm our competitive position in the marketplace.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Even if we obtain regulatory approval for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Even if our product candidates are approved, they will be subject to ongoing regulatory requirements for manufacturing, labeling, packaging, storage, advertising, promotion, sampling, record-keeping,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 For example, the holder of an approved NDA is obligated to monitor and report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If we fail to comply with applicable regulatory requirements following approval of any of our product candidates, a Regulatory Authority may: issue a warning letter asserting that we are in violation of the law and potentially restricting our ability to sell, manufacture, import or export our products; seek an injunction or impose civil or criminal penalties or monetary fines; suspend or withdraw regulatory approval or revoke a license; suspend any ongoing clinical trials; refuse to approve a pending NDA or supplements to an NDA submitted by us; seize product; or refuse to allow us to enter into supply contracts, including government contracts. 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successful in gaining approval for any of our product candidates, we and our CDMOs, which manufacture our products under contract, will continue to face significant regulatory oversight of the manufacturing and distribution of our products. Product manufacturers and their facilities are subject to payment of user fees and continual review and periodic inspections by Regulatory Authorities for compliance with cGMP and adherence to commitments made in the NDA. If we or a Regulatory Authority discovers previously unknown problems with a product such as AEs of unanticipated severity or frequency, or problems with the facility where the product is manufactured, a Regulatory Authority may impose restrictions relative to that product or the manufacturing facility, including requiring recall or withdrawal of the product from the market or suspension of manufacturing.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Risk Evaluation and Mitigation Strategy (“REMS”)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requirements may apply in foreign countries. In addition, if Regulatory Authorities approves any of our product candidates, we will have to comply with requirements including submissions of safety and other post-marketing information, reports and registration.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Regulatory Authorities may impose consent decrees or withdraw or vary approval if compliance with regulatory requirements and standards is not maintained or if problems occur after the product reaches the market. Later discovery of previously unknown problems with our product candidates, including AEs of unanticipated severity or frequency, or with our CDMOs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a comparable foreign program. Other potential consequences include, among other things: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restrictions on the marketing or manufacturing of our products, withdrawal of the product from the market or voluntary product recalls;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fines, FDA Form 483s, warning letters or holds on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refusal by Regulatory Authorities to approve pending applications or supplements to approved applications filed by us or suspension, variation or withdrawal of approvals;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56">
                <wp:simplePos x="0" y="0"/>
                <wp:positionH relativeFrom="column">
                  <wp:align>left</wp:align>
                </wp:positionH>
                <wp:positionV relativeFrom="line">
                  <wp:posOffset>635</wp:posOffset>
                </wp:positionV>
                <wp:extent cx="254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seizure, detention or refusal to permit the import or export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total or partial suspension of production, distribution, manufacturing or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operating restrictions;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suspension of licenses;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injunctions, fines or the imposition of civil or criminal penalties.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Regulatory Authorities strictly regulate marketing, labeling, advertising and promotion of products that are placed on the market. Products may be promoted only for the approved indications and in accordance with the provisions of the approved label.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policies of Regulatory Authorities may change and additional government regulations may be enacted that could prevent, limit or delay regulatory approval of our product candidates. In addition, the United States Supreme Court’s July 2024 decision to overturn established case law giving deference to Regulatory Authorities’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For more information, see the section titled “</w:t>
      </w:r>
      <w:r>
        <w:rPr>
          <w:rFonts w:ascii="Helvetica;Arial;sans-serif" w:hAnsi="Helvetica;Arial;sans-serif"/>
          <w:b w:val="false"/>
          <w:i/>
          <w:caps w:val="false"/>
          <w:smallCaps w:val="false"/>
          <w:color w:val="000000"/>
          <w:spacing w:val="-2"/>
          <w:sz w:val="20"/>
        </w:rPr>
        <w:t>Business — Government Regulation.</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subject to significant regulatory oversight with respect to manufacturing our product candidates. The manufacturing facilities of our CDMOs or suppliers may not meet regulatory requirements. Failure to meet cGMP requirements set forth in regulations promulgated by Regulatory Authorities could result in significant delays in and costs of our products.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manufacturing of therapeutics for clinical trials or commercial sale is subject to extensive regulation. Components of a finished product approved for commercial use or used in clinical trials must be manufactured in accordance with cGMP requirements. These regulations govern manufacturing processes and procedures, including recordkeeping, and the implementation and operation of quality systems to control and assure the quality of products and materials used in clinical trials. Poor control of the cGMP production processes can lead to product quality failures that can impact our ability to supply product, resulting in cost overruns and delays to clinical timelines, which could be extensive.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production process issues include, but are not limited to: critical deviations in the manufacturing process; facility and equipment failures; contamination of the product due to an ineffective quality control strategy; facility contamination as assessed by the facility and utility environmental monitoring program; ineffective process, equipment or analytical change management, resulting in failed lot release criteria; raw material failures due to ineffective supplier qualification or regulatory compliance issues at critical suppliers; ineffective product stability; failed lot release or facility and utility QC testing; ineffective corrective actions or preventative actions taken to correct or avoid critical deviations due to our developing understanding of the manufacturing process as we scale; and failed or defective components or consumables.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must supply all necessary documentation in support of an NDA or other marketing authorization application on a timely basis and must adhere to the cGMP requirements of Regulatory Authorities which are enforced, in the case of the FDA, in part through its facilities inspection program.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Regulatory authorities typically require representative manufacturing site inspections to assess adequate compliance with cGMPs and manufacturing controls as described in the filing. If either we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one of our third-party manufacturing sites fails to provide sufficient quality assurance or control, the product approval to commercialize may not be granted. Inspections by regulatory authorities may occur at any time during the development or commercialization phase of products. The inspections may be product specific or facility specific for broader cGMP inspections or as a follow up to market or development issues that the Regulatory Authority may identify. Deficient inspection outcomes may influence the ability of our CDMOs or suppliers to fulfill their supply obligations, impacting or delaying supply or delaying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manufacturing process for any products that we may develop is subject to the approval process of Regulatory Authorities, and we will need to contract with CDMOs which we believe can meet such requirements on an ongoing basis. If we or our CDMOs are unable to reliably produce product candidates to specifications acceptable to Regulatory Authorities, we or our collaboration partners may not obtain or maintain the approvals we or they need to commercialize such products. Even if we or our collaboration partners obtain regulatory approval for any of our product candidates, there is no assurance that either we or our CDMOs will be able to manufacture the approved product to specifications acceptable to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limited control over the manufacturing process of, and are dependent on, our CDMOs for compliance with cGMPs. If our CDMOs cannot successfully manufacture material that conforms to our specifications and the strict regulatory requirements of Regulatory Authorities, we may not be able to secure and/or maintain regulatory approval for our product candidates manufactured at these facilities. In addition, we have limited control over the ability of our CDMOs to maintain adequate quality control, quality assurance and qualified personnel. Furthermore, all of our CDMOs are engaged with other companies to supply or manufacture materials or products for such companies, which exposes our CDMOs to regulatory risks for the production of such materials and products. As a result, failure to meet the regulatory requirements for the production of those materials and products may generally affect the regulatory status of our CDMOs’ facility. Our failure, or the failure of our CDMOs,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collaboration partners) and our overall business operations. Our dependence upon others for the manufacture of our product candidates and raw materials may adversely affect our future profit margins and our ability to commercialize any products that receive regulatory approval on a timely and competitive basis.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will train and qualify all personnel around the appropriate handling of our products and materials, we may not be able to control or ultimately detect intentional sabotage or negligence by any employee or contractor.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Disruptions at the FDA, the SEC and other United States government agencies caused by reduction in staffing, funding shortages or global health concerns could hinder their ability to hire, retain or deploy key leadership and other personnel, or otherwise prevent new or modified products from being developed, approved or commercialized in a timely manner or at all, or otherwise prevent those agencies from performing normal business functions on which the operation of business may rely, which could negatively impact our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Federal agencies in the United States, including the FDA, the SEC and other comparable regulatory authorities, operate pursuant to annual appropriations and other political and budgetary processes,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may from time to time be subject to continuing resolutions, funding lapses, or other fiscal constraints. Currently, although the FDA and many other federal agencies have funding sufficient to continue their activities through September 30, 2026, the timing and amount of future funding is unpredictable. Without appropriation of sufficient funding to federal agencies, our business operations related to our product development activities for the United States market could be impacted. The ability of Regulatory Authorities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Regulatory Authorities’ ability to perform routine functions. Average review times at Regulatory Authorities have fluctuated in recent years and may continue to fluctuate as a result of these factors. In addition, government funding of the SEC and other United States government agencies on which our operations may rely, including those that fund research and development activities, is subject to the political process, including executive and congressional priorities, which is inherently fluid and unpredictable. For example, the current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Disruptions at the FDA, the SEC and other agencies, including as a result of substantial leadership changes, personnel cuts, policy changes or otherwise, may also slow the time necessary for new drugs to be reviewed and/or approved by necessary government agencies, which would adversely affect our business. Changes and cuts in FDA staffing have been reported by some in the pharmaceutical industry as creating delays in the FDA’s responsiveness or in its ability to review submissions or applications, issue regulations or guidance, or implement or enforce regulatory requirements in a timely fashion or at all. Also, state governments may seek to address or react to changes at the federal level with changes to their regulatory frameworks in a manner that could impact our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Over the last several years, including from October 1, 2025 to November 12, 2025, the United States government shut down several times and certain regulatory agencies, such as the FDA and the SEC, have had to furlough critical employees and cease critical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 prolonged government shutdown occurs again, or a widespread freeze on federal funding occurs in the future or if global health concerns or staffing changes prevent the FDA, the SEC, or other comparable foreign regulatory authorities from conducting their regular inspections, reviews, or other regulatory activities, including formal and informal interactions with product developers, it could significantly impact the ability of the FDA, the SEC, or other such comparable foreign regulatory authorities to timely review and process our regulatory submissions, which could have a material adverse effect on our business. Further, in our operations as a public company, future government shutdowns and/or substantial leadership, personnel, and policy changes at the SEC could impact our business by delaying review of our public filings, which in turn could delay or frustrate our ability to access the public markets and obtain necessary capital in order to properly capitalize and continue our operations or delay the review or effectiveness of required regulatory or securities filings.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Healthcare legislative reform discourse and potential or enacted measures may have a material adverse impact on our business and results of operations and legislative or political discussions surrounding the desire for and implementation of pricing reforms may adversely impact our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 If reimbursement of our products is unavailable or limited in scope, our business could be materially harmed. For more information, please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val="false"/>
          <w:caps w:val="false"/>
          <w:smallCaps w:val="false"/>
          <w:color w:val="000000"/>
          <w:spacing w:val="-2"/>
          <w:sz w:val="20"/>
        </w:rPr>
        <w:t>see the sections titled “</w:t>
      </w:r>
      <w:r>
        <w:rPr>
          <w:rFonts w:ascii="Helvetica;Arial;sans-serif" w:hAnsi="Helvetica;Arial;sans-serif"/>
          <w:b w:val="false"/>
          <w:i/>
          <w:caps w:val="false"/>
          <w:smallCaps w:val="false"/>
          <w:color w:val="000000"/>
          <w:spacing w:val="-2"/>
          <w:sz w:val="20"/>
        </w:rPr>
        <w:t xml:space="preserve">Business — Government Regulation — Coverage and Reimbursement” </w:t>
      </w:r>
      <w:r>
        <w:rPr>
          <w:rFonts w:ascii="Helvetica;Arial;sans-serif" w:hAnsi="Helvetica;Arial;sans-serif"/>
          <w:b w:val="false"/>
          <w:i w:val="false"/>
          <w:caps w:val="false"/>
          <w:smallCaps w:val="false"/>
          <w:color w:val="000000"/>
          <w:spacing w:val="-2"/>
          <w:sz w:val="20"/>
        </w:rPr>
        <w:t>and “— </w:t>
      </w:r>
      <w:r>
        <w:rPr>
          <w:rFonts w:ascii="Helvetica;Arial;sans-serif" w:hAnsi="Helvetica;Arial;sans-serif"/>
          <w:b w:val="false"/>
          <w:i/>
          <w:caps w:val="false"/>
          <w:smallCaps w:val="false"/>
          <w:color w:val="000000"/>
          <w:spacing w:val="-2"/>
          <w:sz w:val="20"/>
        </w:rPr>
        <w:t xml:space="preserve">Healthcare Reform and Other Regulatory Changes” </w:t>
      </w:r>
      <w:r>
        <w:rPr>
          <w:rFonts w:ascii="Helvetica;Arial;sans-serif" w:hAnsi="Helvetica;Arial;sans-serif"/>
          <w:b w:val="false"/>
          <w:i w:val="false"/>
          <w:caps w:val="false"/>
          <w:smallCaps w:val="false"/>
          <w:color w:val="000000"/>
          <w:spacing w:val="-2"/>
          <w:sz w:val="20"/>
        </w:rPr>
        <w:t>included elsewhere in this prospectus.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Third-party payors, whether domestic or foreign, or governmental or commercial, are developing increasingly sophisticated methods of controlling healthcare costs. In the United States and certain other jurisdictions, there have been, and are expected to continue to be, a number of legislative and regulatory changes to the healthcare system that could impact our ability to sell our products profitably. In addition, significant uncertainty exists in the United States and certain other jurisdictions regarding the provision and financing of healthcare because the elected administrations in such countries have publicly declared their intention to review and potentially significantly modify the current legal and regulatory framework for the healthcare system including through drug pricing and reimbursement reforms.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cannot predict the initiatives that may be adopted in the future. The continuing efforts of the government, insurance companies, managed care organizations and other payers of healthcare services to contain or reduce costs of healthcare may adversely affect: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demand for any of our product candidates, if approved;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ability to set a price that we believe is fair for any of our product candidates, if approved;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generate revenues and achieve or maintain profitability;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level of taxes that we are required to pay;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availability of capital.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example, recent CMS proposals from November 2025 and December 2025, including the Global Benchmark for Efficient Drug Pricing Model (“GLOBE”) for Medicare Part B, the Guarding United States Medicare Against Rising Drug Costs (“GUARD”) model for Medicare Part D, and the GENErating cost Reductions fOr United States Medicaid (“GENEROUS”) Model, if implemented as currently proposed, could materially impact our revenue. Any reduction in reimbursement from Medicare or other government programs may result in a similar reduction in payments from private payors, which may adversely affect our future profitability and could materially reduce net realized prices.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the Inflation Reduction Act of 2022 (the “IRA”) was recently revised to broaden the exemption from the drug price negotiation program for drugs with orphan designations. Previously under the IRA, orphan drugs were exempted from the Medicare drug price negotiation program; but this exemption was restricted to drugs with only one orphan designation and for which the only approved indication is for that rare disease or condition. If a product were to receive multiple orphan designations or had multiple approved indications, it would not have qualified for the orphan drug exemption. Under the One Big Beautiful Bill Act of 2025 (the “OBBBA”), this restriction was eliminated; and effective for the 2028 initial price applicability year, all orphan drugs, regardless of the number of orphan designations or indications, are exempt from the Medicare drug price negotiation program, provided that all approved indications are for rare diseases.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December 2021, Regulation No 2021/2282 on Health Technology Assessment (“HTA”) amending Directive 2011/24/EU (the “Regulation”), was adopted in the EU. This Regulation, which entered into force in January 2022 and became applicable in January 2025, is intended to boost cooperation among Member States in assessing health technologies, including new medicinal products, and provides the basis for cooperation at the EU level for joint clinical assessments in these areas. The Regulation permits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Member States will continue to be responsible for assessing nonclinical (</w:t>
      </w:r>
      <w:r>
        <w:rPr>
          <w:rFonts w:ascii="Helvetica;Arial;sans-serif" w:hAnsi="Helvetica;Arial;sans-serif"/>
          <w:b w:val="false"/>
          <w:i/>
          <w:caps w:val="false"/>
          <w:smallCaps w:val="false"/>
          <w:color w:val="000000"/>
          <w:spacing w:val="-2"/>
          <w:sz w:val="20"/>
        </w:rPr>
        <w:t>e.g.</w:t>
      </w:r>
      <w:r>
        <w:rPr>
          <w:rFonts w:ascii="Helvetica;Arial;sans-serif" w:hAnsi="Helvetica;Arial;sans-serif"/>
          <w:b w:val="false"/>
          <w:i w:val="false"/>
          <w:caps w:val="false"/>
          <w:smallCaps w:val="false"/>
          <w:color w:val="000000"/>
          <w:spacing w:val="-2"/>
          <w:sz w:val="20"/>
        </w:rPr>
        <w:t>, economic, social, ethical) aspects of health technologies and making decisions on pricing and reimbursement.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Any of the foregoing measures (and related implementing guidance, rulemaking, enforcement activity or private litigation) could materially reduce pricing flexibility, increase rebates or discounts,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narrow coverage, delay patient access, and adversely affect our ability to commercialize any current or future product candidates, if approved.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Our Reliance on Third Parties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rely on a limited number of third parties for the supply and manufacture of our product candidates for our research, preclinical and clinical activities, and may do the same for commercial supplies of our products, if approved. As our pipeline increases and matures, the increased demand for supplies from our manufacturers may increase the risk that we will not have sufficient supply when needed or at an acceptable cost.</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currently utilize, and expect to continue to utilize, a limited number of CDMOs to, among other things, supply and manufacture raw materials, intermediates, drug substance and drug product, perform analytical and quality testing and supply materials for our preclinical and clinical supply for all of our product candidates. For example, we are party to manufacturing and supply agreements with certain CDMOs to support the manufacture and supply of our product candidates. Given the specialized expertise, manufacturing capabilities and capacity required to manufacture RNAi therapeutics, we expect to continue to rely on third-party CDMOs for significant aspects of the manufacture and supply of our product candidates. Although we may qualify additional manufacturers over time, there can be no assurance that our existing or future CDMOs will be able to meet our manufacturing requirements on acceptable terms or at all.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order to produce sufficient quantities to meet the demand for clinical trials and, if approved, subsequent commercialization of our product candidates, our CDMOs will be required to increase their production and optimize their manufacturing processes while maintaining the quality, consistency and regulatory compliance of our product candidates, as applicable. The transition to larger scale production could prove difficult.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adversely impact our ability to timely conduct our clinical trials or commercialize our product candidates, if approved, and have a material adverse impact on our business and results of operations. Furthermore, as the number of companies developing RNAi therapeutics and other oligonucleotide-based medicines continues to increase, competition for specialized manufacturing capacity, raw materials, equipment and other resources necessary to manufacture our product candidates may also increase. Any shortage of, or delay in obtaining, such manufacturing capacity or materials could increase our manufacturing costs, delay the manufacture or supply of our product candidates, and adversely affect our ability to advance our development programs or commercialize our product candidates, if approved.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if we are able to maintain arrangements with our CDMOs, reliance on CDMOs entails additional risks,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failure of the CDMO to comply with applicable regulatory requirements and reliance on third parties for manufacturing process development, regulatory compliance and quality assurance;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manufacturing delays if our CDMOs give greater priority to the supply of other products over our product candidates or otherwise do not perform satisfactorily according to the terms of the agreement between us;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limitations on supply availability resulting from capacity and scheduling constraints of third parties;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possible breach of manufacturing agreements by our CDMOs because of factors beyond our control;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possible termination or non-renewal of the manufacturing agreements by our CDMOs, at a time that is costly or inconvenient to us;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possible misappropriation of our proprietary technology and intellectual property, including our know-how.</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72">
                <wp:simplePos x="0" y="0"/>
                <wp:positionH relativeFrom="column">
                  <wp:align>left</wp:align>
                </wp:positionH>
                <wp:positionV relativeFrom="line">
                  <wp:posOffset>635</wp:posOffset>
                </wp:positionV>
                <wp:extent cx="254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unable to maintain our key manufacturing relationships, we may fail to find replacement CDMOs, which could delay or impair our ability to obtain regulatory approval for our product candidates. If we do find replacement CDMOs, we may not be able to enter into agreements with them on terms and conditions favorable to us and there could be a substantial delay before new facilities could be qualified and registered with Regulatory Authorities.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do not currently have long-term supply contracts with all of our suppliers and they are not obligated to supply materials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suppliers and manufacturers in the future as we advance our clinical trials or commercialization plans, we may not be successful in negotiating such agreements on favorable terms or at all. Our failure to secure these arrangements as needed could have a material adverse effect on our ability to complete the development of our product candidates or, to commercialize them, if approved.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materials that we are required to purchase.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if CDMO with whom we contract fails to perform its obligations, we may be forced to manufacture the materials ourselves, for which we may not have the capabilities or resources, or enter into an agreement with a different CDMO. In either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candidates according to the specifications previously submitted to Regulatory Authorities. We may be unsuccessful in demonstrating the comparability of clinical supplies, which could require the conduct of additional clinical trials. The delays associated with the verification of a new CDMO could negatively affect our ability to develop or commercialize our product candidates in a timely manner or within budget. Furthermore, a CDMO may possess technology related to the manufacture of our product candidates that such third party owns independently. This would increase our reliance on such CDMO or require us to obtain a license from such CDMO in order to have another third party manufacture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any of our product candidates are approved by any Regulatory Authority, we will likely utilize arrangements with CDMOs for the commercial production of such product. This process is difficult and time-consuming and we may face competition for access to manufacturing facilities as there are a limited number of CDMOs operating under cGMPs that are capable of manufacturing our product candidates. Consequently, we may not be able to reach agreement with CDMOs on satisfactory terms, which could delay our commercialization.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operations of our suppliers and CDMOs, some of which are located outside of the United States, are subject to additional risks that are beyond our control and that could harm our business, financial condition, results of operations and prospects. As a result of our global suppliers, we are subject to risks associated with doing business abroad,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political unrest, terrorism, labor disputes and economic instability resulting in the disruption of trade from foreign countries in which our products are manufactured;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imposition of new laws and regulations, including those relating to labor conditions, quality, and safety standards, imports, duties, taxes and other charges on imports, as well as </w:t>
      </w:r>
      <w:r>
        <mc:AlternateContent>
          <mc:Choice Requires="wps">
            <w:drawing>
              <wp:anchor behindDoc="0" distT="7239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trade restrictions and restrictions on currency exchange or the transfer of funds, particularly new or increased tariffs imposed on imports from countries where our suppliers operate;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greater challenges and increased costs with enforcing and periodically auditing or reviewing our suppliers’ and CDMOs’ compliance with cGMPs or status acceptable to Regulatory Authorities;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reduced protection for intellectual property rights, including trademark protection, in some countries;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disruptions in operations due to global, regional or local public health crises or other emergencies or natural disasters;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disruptions or delays in shipments;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changes in local economic conditions in countries where our CDMOs or suppliers are located.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particular, there is currently significant uncertainty about the future relationship between the United States and various other countries, including countries in which our suppliers and CDMOs operate, with respect to trade policies, treaties, government regulations and tariffs. It is possible that further tariffs or other trade restrictions may be imposed that could affect imports of APIs or other materials used in our product candidates, or otherwise disrupt our supply chain or increase our manufacturing costs. Given the evolving global trade environment and uncertainty regarding how the United States or foreign governments will act with respect to tariffs, international trade agreements and policies, further governmental action related to tariffs, additional taxes, contracting matters, regulatory changes or other retaliatory trade measures could occur and have a material adverse effect on our business, financial condition, results of operations and prospects. These and other factors beyond our control could interrupt our suppliers’ and CDMOs’ production, influence their ability to manufacture or supply our clinical materials cost-effectively or at all, or inhibit their ability to procure necessary raw materials, any of which could adversely affect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depend on limited source suppliers for certain drug substances, drug products, raw materials, samples, components and other materials used in our product candidates. If we are unable to source these supplies on a timely basis, or establish longer-term contracts with our suppliers, we may not be able to complete our clinical trials on time and the development of our product candidates may be delayed.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depend on limited source suppliers for certain raw materials, APIs, drug products, drug substances and other materials used in our product candidates. For example, we rely on a limited number of CDMOs, including in China, to provide certain manufacturing and supply services for our product candidates. Although we may qualify additional suppliers over time, certain materials, manufacturing processes and services are currently available from only a limited number of qualified suppliers. Any disruption in the supply of these materials or services, any inability of our suppliers to meet our manufacturing requirements, or any change in our relationships with these suppliers or the contractual terms governing such relationships could adversely affect our business, financial condition, results of operations and prospects. Moreover, there may be difficulties in scaling the manufacture of our product candidates for later-stage clinical development or commercialization, and the costs of manufacturing could become prohibitive.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Furthermore, any of the limited source suppliers upon whom we rely could stop producing our supplies, cease operations or be acquired by, or enter into exclusive arrangements with, our competitors. In addition, geopolitical tensions may impact our suppliers, some of which are located outside of the United States, including in China. There is currently significant uncertainty about the future relationship between the United States and various other countries, including China, with respect to trade policies, treaties, government regulations and tariffs. Increased tariffs or pending legislation that would impose federal contracting or federal funding limitations on parties directly using or connected to those using the services or equipment of certain foreign entities with known or alleged associations with foreign adversaries could potentially disrupt our existing supply chains and impose additional costs on our business. For example, the BIOSECURE Act, enacted on December 18, 2025 as part of the National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Defense Authorization Act for Fiscal Year 2026, restricts United States federal agencies from entering into contracts, grants, or loans with entities that use biotechnology equipment or services provided by designated “biotechnology companies of concern” ​(“BCCs”). BCCs are identified through designation by the Office of Management and Budget (“OMB”) following a multi-agency review process, or through inclusion on the Department of Defense’s annual list of Chinese military companies maintained pursuant to Section 1260H of the National Defense Authorization Act (“NDAA”) for Fiscal Year 2021 (the “1260H List”), subject to an OMB determination that the listed entity is involved in the manufacture, distribution, provision, or procurement of biotechnology equipment or services. Certain CDMOs we engage are not currently designated as BCCs under either pathway; however, there is no assurance that any such CDMO will not be added to the 1260H List or otherwise designated as a BCC in future OMB determinations. The Act’s prohibitions are not yet in effect, and OMB must first publish a formal BCC list (due no later than December 2026), after which OMB has 180 days to issue guidance regarding the Act, and then the Federal Acquisition Regulatory Council has one year to revise the Federal Acquisition Regulations, with prohibitions taking effect 60 or 90 days thereafter (depending on how the entity is designated as a BCC). Under the statute, restrictions for newly designated BCCs may not take effect until 2027 or later. The Act also provides a five-year grandfathering period for biotechnology equipment or services provided under contracts with a BCC entered into prior to the applicable effective date. To the extent we receive or in the future receive federal funding — including grants, loans, or contracts subject to the Federal Acquisition Regulations — in connection with which any CDMO we engage is or becomes designated a BCC, we could be required to transition to alternative manufacturers or risk ineligibility for such funding. Even absent a direct federal nexus, the designation of any CDMO we engage as a BCC, or the prospect of such designation, could disrupt our supply chain, impair such CDMO’s ability to operate or attract United States customers, or require us to identify and qualify an alternative sole-source manufacturer, any of which could cause significant delays in our clinical development program and have a material adverse effect on our business, financial condition, and results of operations. If any third party that we engage to supply any materials or manufacture products for our preclinical studies and clinical trials should cease to continue to do so, or if we are prevented from using their services for any reason, we could experience delays in advancing these studies and trials while we identify and qualify replacement suppliers.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Establishing additional or replacement suppliers,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rely on and expect to continue to rely on third parties to conduct aspects of our research, preclinical studies, clinical protocol development and clinical trials for our programs and product candidates. If these third parties do not perform satisfactorily, comply with regulatory requirements or meet expected deadlines, we may not be able to develop product candidates in a timely or cost-effective manner, or obtain regulatory approval for or commercialize our product candidates and our business could be substantially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currently rely and expect to continue to rely on third parties, such as CROs, medical institutions and clinical investigators, to conduct our clinical trials, including our planned IIT for CITY-TFR2 in anemia in China. We currently rely and expect to continue to rely on third parties to conduct certain research and preclinical testing activities. In some cases, these third parties may terminate their engagements with us. If we need to enter into alternative arrangements, it could delay our product development activities or increase our costs.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reliance on these third parties for research and development activities will reduce our control over these activities but will not relieve us of our regulatory or contractual responsibilities. We will be responsible for ensuring that each of our preclinical studies and clinical trials is conducted in accordance with the applicable protocol, legal and regulatory requirements and scientific standards. For example, we will remain responsible for ensuring that each of our clinical trials is conducted in accordance with the general investigational plan and protocols for the trial. Moreover, the FDA requires us to comply with regulations, commonly referred to as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for publication.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and our CROs will be required to comply with regulations, including GCPs,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Regulatory Authorities for any product candidates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Regulatory Authorities may require us to perform additional clinical trials before approving our marketing applications. There is no assurance that the FDA or other Regulatory Authorities, upon inspection, will determine that any of our future clinical trials will comply with GCPs. In addition, our clinical trials must be conducted with product candidates produced in accordance with the requirements in cGMP regulations. Our failure or the failure of our CROs to comply with these regulations may require us to repeat clinical trials, which would delay the regulatory approval process and could also subject us to enforcement action.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Although we intend to design the clinical trials for certain of our product candidates, our collaboration partners may design the clinical trials that they are managing (in some cases, with our input) and in the case of clinical trials controlled by us, we expect that CROs will perform many of the activities required to conduct clinical trials. As a result, many important aspects of our development programs, including their conduct and timing, will, in many respects, be outside of our direct control. Our reliance on third parties to conduct or manage our current or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 have staffing difficulties; fail to comply with contractual obligations; experience regulatory compliance issues; undergo changes in priorities or become financially distressed; form relationships with other entities, some of which may be our competitors; have human errors or be subject to cyber-attacks.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also expect to rely on other third parties to transport, store and distribute the required materials for our clinical trials. Any performance failure on the part of these third parties could result in damaged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products and could delay clinical development or marketing approval of any product candidates we may develop or commercialization of our products, if approved, producing additional losses and depriving us of potential product revenue, causing us to default on our contractual commitments, result in losses that are not covered by insurance, and damage our reputation and overall perception of our products in the marketplace.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of the third 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For example, although we believe there are a number of other CROs we could engage, we may not be able to enter into alternative arrangements or do so on commercially reasonable terms.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in the past entered into, and in the future may enter into, partnership, collaboration and licensing arrangements with third parties to support development of programs and product candidates. If these partnership, collaboration and licensing arrangements are not successful, our business could be adversely affected.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entered into or sought to enter into partnership, collaboration and licensing arrangements with third-parties, which we refer to generally as our “collaboration partners” for strategic purposes, including for purposes of collaborating with collaboration partners with distinctive capabilities or experience with different modalities, working with collaboration partners capable of advancing the development and commercialization of our product candidates, and providing access to additional capital.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example, in addition to our wholly-owned pipeline, we have entered into research collaboration and license agreements with two industry collaboration partners. In July 2024, we entered into the B+L Agreement with Bausch + Lomb focused on the discovery and development of RNAi therapeutics for ocular diseases, and in May 2025, we entered into a research collaboration and license agreement (“Biogen Agreement”) with Biogen focused on the discovery and development of an RNAi program for neurodegenerative diseases. In addition, in October 2023, we entered into an exclusive license agreement (“OSIF License Agreement”) with the Ohio State Innovation Foundation (“OSIF”), pursuant to which OSIF granted us an exclusive, royalty-bearing license to certain patent rights relating to our technology platform. We expect to enter into additional partnership, collaboration and licensing arrangements in the future. Our existing arrangements, as well as any future arrangements we may enter into, could pose a number of risks, including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may not perform their obligations as expected;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may not commit sufficient resources, including personnel, capital, and management attention, to the development and potential commercialization of the applicable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may change their strategic focus, undergo a change of control, or otherwise deprioritize our collaboration programs in favor of other programs or therapeutic areas;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clinical trials conducted as part of such partnership, collaboration and licensing arrangement may not be successful;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may not pursue development and commercialization of any product candidates that achieve regulatory approval or may elect not to continue or renew development or commercialization of programs based on clinical trial results, changes in the strategic collaborators’ focus or available funding, or external factors, such as an acquisition, which divert resources or create competing priorities;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may delay clinical trials, provide insufficient funding for clinical trials, stop a clinical trial, abandon a product candidate, repeat or conduct new clinical trials or require a new formulation of a product candidate for clinical testing;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85">
                <wp:simplePos x="0" y="0"/>
                <wp:positionH relativeFrom="column">
                  <wp:align>left</wp:align>
                </wp:positionH>
                <wp:positionV relativeFrom="line">
                  <wp:posOffset>635</wp:posOffset>
                </wp:positionV>
                <wp:extent cx="254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could independently develop, or develop with third parties, products that compete directly or indirectly with our product candidates if the strategic collaborators believe that competitive products are more likely to be successfully developed or can be commercialized under terms that are more economically attractive than ours;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candidates developed in partnership, collaboration and licensing arrangements with us may be viewed by our collaboration partners as competitive with their own candidates or products, which may cause collaboration partners to cease to devote resources to the development of our programs or the development or commercialization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collaboration partner with marketing and distribution rights to one or more of our product candidates that achieve regulatory approval may not commit sufficient resources to the marketing and distribution of any such product;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disagreements with collaboration partners,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collaboration partners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r>
        <mc:AlternateContent>
          <mc:Choice Requires="wps">
            <w:drawing>
              <wp:anchor behindDoc="0" distT="77470" distB="0" distL="25400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disputes may arise with respect to the interpretation of key terms regarding control, economic rights, or the ownership of intellectual property developed pursuant to our partnership, collaboration and licensing arrangements;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partners may infringe the intellectual property rights of third parties, which may expose us to litigation and potential liability;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partnership, collaboration and licensing arrangements may, in certain instances, be terminated for the convenience of the collaboration partner and, if terminated, the development of our programs and product candidates may be delayed, or we may lose rights to intellectual property or expertise related to such programs and products candidates, and we could be required to raise additional capital to pursue further development or commercialization of the applicable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future relationships may require us to incur non-recurring and other charges, assume indebtedness or contingent liabilities, increase our near- and long-term expenditures, acquire intangible assets, issue securities that dilute our existing stockholders, disrupt our management and business, or otherwise impact our ability to generate revenue from acquired intellectual property, technology and/or products sufficient to meet our objectives or even to offset the associated transaction and maintenance costs;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could face significant competition in seeking appropriate collaboration partners and the negotiation process and diligence process is time-consuming and complex;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international operations, through any future partnerships, collaborations, acquisitions or joint ventures, may expose us to certain operating, legal, and other risks not encountered in the United States.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Whether we reach a definitive agreement for a partnership, collaboration or licensing arrangement will depend, among other things, on our assessment of the collaboration partner’s resources and expertise, the terms and conditions of the proposed partnership, collaboration or licensing arrangement,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and the potential collaboration partner’s evaluation of a number of factors. Those factors may include, among others: (i) our technologies and capabilities; (ii) our intellectual property position with respect to the subject program or product candidate; (iii) the design or results of clinical trials; (iv) the likelihood of approval by Regulatory Authorities; (v) the potential market for the subject product candidate; (vi) potential competing products; and (vii) industry and market conditions generally. In addition, the significant number of business combinations among large pharmaceutical and biotechnology companies has reduced the number of potential future collaboration partners with whom we can partner.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Partnership, collaborations and licensing arrangements are complex and time-consuming to negotiate and document. We may have to relinquish valuable rights to our programs and product candidates, intellectual property or future revenue streams, or grant licenses on terms that are not favorable to us or in instances where it would have been more advantageous for us to retain sole development and commercialization rights. For some programs and product candidates, we depend on collaboration partners to design and conduct the clinical trials. As a result, we may not control the manner or time schedule in which these clinical trials are conducted, which may negatively impact our business operations. In addition, if any of our collaboration partners withdraws support for one or more of our programs or product candidates or otherwise impairs their development, our business could be negatively affected. In addition, management of our relationships with collaboration partners requires (i) significant time and effort from our management team; (ii) coordination of our marketing and research and development programs with the marketing and research and development priorities of our collaborators and (iii) effective allocation of our resources across multiple projects.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Partnerships, collaborations and licensing arrangements may never result in the successful development of programs or development and commercialization of product candidates or the generation of sales revenue. The success of these arrangements will depend heavily on the efforts and activities of our collaboration partners. Collaboration partners generally have significant discretion in determining the efforts and resources that they will apply to the development of programs and the development and commercialization of product candidates, and they may not pursue or prioritize the development and commercialization of such programs and product candidates in a manner that is in our best interests. Product revenues arising from partnership, collaboration and licensing arrangements are likely to be lower than if we directly marketed and sold products. Disagreements with collaboration partners regarding clinical development or commercialization matters can lead to delays in the development process or commercialization of the applicable product candidate and, in some cases, the termination of the partnership, collaboration or licensing arrangement. These disagreements can be difficult to resolve if neither of the parties has final decision-making authority. Partnership, collaboration and licensing arrangements are often terminable by the collaboration partner, and any such termination or expiration would adversely affect us financially and could harm our business reputation. If we were to become involved in arbitration or litigation with any of our collaboration partners, it would consume time and divert management resources away from operations, damage our reputation, impact our ability to enter into future partnership, collaboration and licensing arrangements and may further result in substantial payments from us to our collaboration partners to settle those disputes.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may not be able to establish additional partnership, collaboration and licensing arrangements on a timely basis, on acceptable terms, or at all, or to maintain and successfully conclude such arrangements. Such arrangements with third parties could cause us to expend significant resources and incur substantial business risk with no assurance of financial return. In addition, given the nature of our relationships with our collaboration partners, we often do not fully control the progression, clinical development, regulatory strategy or eventual commercialization, if approved, of our jointly-developed product candidates. As a result, our future success and the potential to receive revenues under these partnership, collaboration and licensing arrangements are significantly dependent on our collaboration partners’ efforts, over which we have little control. If we are unable to establish or maintain partnership, collaboration and licensing arrangements on terms favorable to us, if our partnership, collaboration and licensing arrangements do not result in the successful development and commercialization of product candidates, if a collaboration partner determines not to proceed with the future development of a program or product candidate, if a collaboration partner implements a clinical or regulatory strategy that ultimately does not enable the further development, approval or commercialization of the product candidate, or if a collaboration partner terminates its arrangement with us, we may not receive any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funding or milestone, earnout, royalty or other contingent payments under such arrangement. In addition, our ability to monitor the achievement of clinical, regulatory and commercial milestones by our collaboration partners and enforce the payment of any corresponding fees is limited. If we do not receive the funding we expect under these agreements, the development of our product candidates could be delayed, we may need additional resources to develop such product candidates, and our research and development efforts and potential to generate revenue may be limited and our business, operating results, prospects and financial condition could be materially and adversely impacted.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cannot assure investors that we will be able to maintain or expand our existing collaboration partners or that our City Platform will achieve adequate market acceptance among new collaboration partners. Any failure to increase penetration in our existing markets or new markets would adversely affect our ability to improve our operating results from our collaboration, partnership and licensing strategy.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of the risks relating to product development, regulatory approval and commercialization described in this prospectus apply to the activities of our collaboration partners. If we and our collaboration partners do not receive regulatory approval for a sufficient number of product candidates, we may not be able sustain our business model.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seek to establish additional partnership, collaboration and licensing arrangements and, if we are not able to establish them on commercially reasonable terms, we may have to alter our development and commercialization plans. Certain of our partnership, collaboration and licensing arrangement may restrict our ability to develop certain products.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 For example, we expect to seek a collaboration partner for our most advanced product candidate, CITY-FXI, prior to initiating Phase 3 development.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face significant competition in seeking appropriate collaboration partners. Whether we reach a definitive agreement for any additional partnership, collaboration and licensing arrangements will depend, among other things, upon our assessment of the collaboration partner’s resources and expertise, the terms and conditions of the proposed partnership, collaboration or licensing arrangement and the proposed collaboration partner’s evaluation of a number of factors. Those factors may include the design or results of clinical trials, the likelihood of approval by Regulatory Authorities, the potential market for the subject product candidate, the costs and complexities of manufacturing and delivering such product candidate to trial participants, the potential of competing drugs, the existence of uncertainty with respect to our ownership of technology, which can exist if there is a challenge to such ownership without regard to the merits of the challenge, and industry and market conditions generally. The collaboration partner may also consider alternative product candidates or technologies for similar indications that may be available to collaborate on and whether such a collaboration could be more attractive than the one with us for our product candidate. The terms of any additional partnership, collaboration and licensing arrangements or other arrangements that we may establish may not be favorable to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existing collaboration and licensing agreements, and any agreements we may enter into in the future, may contain provisions that limit our operational flexibility, including field-of-use limitations, territory restrictions, or exclusivity provisions that preclude us from independently exploiting, or entering into arrangements with third parties with respect to, certain product candidates or technologies in defined areas. Any such restrictions could limit our ability to maximize the value of our pipeline and platform or to pursue new strategic opportunities. In addition, disputes with existing partners regarding the scope of any such restrictions could result in litigation or arbitration, divert management attention, and adversely affect our development and commercialization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may not be able to negotiate additional partnership, collaboration and licensing arrangements on a timely basis, on favorable terms or at all. Strategic alliances are complex and time-consuming to negotiate and document. If we are unable to negotiate and enter into new partnership, collaboration and licensing arrangements, we may have to curtail the development of the product candidate for which we are seeking to collaborate, reduce or delay its development program or one or more of our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generate product revenue.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any collaborator materially amends, terminates or fails to perform its obligations under agreements with us, the development and commercialization of our products or product candidates could be delayed or terminated.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dependence on collaborators for capabilities and funding means that our business could be adversely affected if any collaborator materially amends or terminates its collaboration agreement with us, in whole or in part, or fails to perform its obligations under that agreement. Our current or future collaborations, if any, may not be scientifically or commercially successful. Disputes may arise in the future with respect to the ownership of rights to technology or products developed with our collaborators, which could have an adverse effect on our ability to develop and commercialize any affected product candidate. Our current collaborations allow, and we expect that any future collaborations will allow, either party to terminate the collaboration for a material breach by the other party.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under certain circumstances, our collaborators may have additional termination rights for convenience with respect to the collaboration as a whole or a particular program under the collaboration. If we were to lose a commercialization collaborator, we would have to attract a new collaborator (potentially on less favorable terms for us than we have with our existing collaborator) or develop expanded sales, distribution and marketing capabilities internally, which would require us to invest significant financial and management resources, or discontinue the program. Following termination, we may not regain all rights to independently develop or commercialize the relevant product candidates or technologies, which could further limit our ability to extract value from the affected program. Any such outcome could result in significant delays, increased costs, and material adverse effects on our business, financial condition, and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if we have a dispute with a collaborator over the ownership of technology or other matters, or if a collaborator terminates its collaboration with us, for breach or otherwise, or determines not to pursue the research, development and/or commercialization of the affected product or product candidate, it could delay our development of product candidates, result in the need for additional company resources to develop the impacted product candidate(s), require us to expend time and resources to develop expanded sales and marketing capabilities on a more expedited timeline, make it more difficult for us to attract new collaborators and adversely affect how we are perceived in the business and financial communities.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a collaborator, or in the event of a change in control of a collaborator or the assignment of a collaboration agreement to a third party, the successor entity or assignee could determine that it is in its interests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pursue alternative technologies or develop alternative products, either on its own or jointly with others, that may be competitive with the products on which it is collaborating with us or which could affect its commitment to its collaboration with us;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pursue higher-priority programs or change the focus of its development programs, which could affect the collaborator’s commitment to us;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it has commercial rights, choose to devote fewer resources to the marketing of our products, if any receive regulatory approval, than it does for products developed or commercialized outside of our collaboration.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any of these occur, the development and commercialization of one or more products or product candidates could be delayed, curtailed or terminated because we may not have sufficient financial resources or capabilities to continue such development and commercialization on our own.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no sales, distribution or marketing experience, and may invest significant financial and management resources to establish these capabilities. If we are unable to establish such capabilities or enter into agreements with third parties to market and sell our future products, if approved, we may be unable to generate any revenues.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Given our stage of development as a company, we have no sales, distribution or marketing experience. To successfully commercialize any products that may result from our programs, we will need to develop sales and marketing capabilities in the United States, Europe and other regions, either on our own or with others. These efforts will require substantial additional resources, some or all of which may be incurred in advance of any approval of these product candidates. Any failure or delay in the development of our or third parties’ internal sales, marketing and distribution capabilities would adversely impact the commercialization of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Factors that may inhibit our efforts to commercialize our product candidates on our own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inadequate funding;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inability to recruit and retain an adequate number of effective sales and marketing personnel;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inability of sales personnel to obtain access to or persuade an adequate number of physicians to prescribe any future products;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lack of complementary products to be offered by sales personnel, which may put us at a competitive disadvantage compared to companies with more extensive product lines;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unforeseen costs and expenses associated with creating an independent sales and marketing organization.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enter into partnership, collaboration and licensing arrangements with third parties to utilize their mature marketing and distribution capabilities, but we may be unable to enter into marketing agreements on favorable terms, if at all. If these third parties do not commit sufficient resources to commercialize our future products, if any, and we are unable to develop the necessary marketing capabilities on our own, we may be unable to generate sufficient product revenue to sustain our business. We may be competing with many companies that currently have extensive and well-funded marketing and sales operations. Without a significant internal team or the support of a third party to perform marketing and sales functions, we may be unable to compete successfully against these more established companies.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do not establish sales and marketing capabilities successfully, either on our own or in collaboration with third-parties, we will not be successful in commercializing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Our Intellectual Property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success is largely based upon our intellectual property and proprietary technologies, and we may be unable to adequately protect and/or enforce our intellectual property.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success depends, in large part, on our ability to obtain and maintain patents, trademarks, trade secrets, know-how and other intellectual property rights and proprietary technology relating to our City Platform, our integrated RNAi platform, technologies and our product candidates, as well as our ability to successfully enforce our rights against third party infringers and/or defend our intellectual property against third party challenges or misappropriation. If we (or our licensees or licensors who may have the right to prosecute or enforce certain patents within our portfolio) fail to appropriately prosecute or are unable to obtain and maintain patent protection for our product candidates (or aspects thereof), our ability to develop, license and/or commercialize these product candidates may be adversely affected and we may not be able to prevent competitors from making, using, selling or importing competing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products. This failure or inability to properly or adequately protect the intellectual property rights relating to these product candidates could have a material adverse effect on our business, financial condition, results of operations and/or prospects. We may lose a considerable amount of control over our intellectual property and may not receive anticipated revenues in strategic transactions, particularly where the consideration is contingent on the achievement of development or sales milestones.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RNAi therapeutic technology is not a new scientific field. We believe we are uniquely positioned to lead the next generation of RNAi therapeutic breakthroughs. Our differentiated City Platform is built on parallel innovation in two core areas: optimizing the RNAi trigger, the double-stranded RNA that drives sequence-specific cleavage of target mRNA, and developing novel ligands for targeted extrahepatic delivery. We have applied for patents relating to our City Platform and some of our product candidates. The pending patent applications that we own or in-license in the United States and in key markets around the world, claim different aspects relating to our product candidates and potential product candidates and to the engineering, development, manufacture and commercialization of such product candidates including, but not limited to, compositions and methods of use.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patent application process is subject to numerous risks and uncertainties, and there can be no assurance that we or our partners will be successful in protecting our product candidates by obtaining, maintaining, enforcing and defending patents. Patent applications are being processed by national patent offices around the world. There is uncertainty about which patents will issue, and, if they do, as to when, to whom, and with what claims. These risks and uncertainties include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patent applications may not result in any patent being issued;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patents that may be issued may not include claims that cover a broad enough scope to prevent alternative solutions by competitors;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patents that may be issued may be challenged, invalidated, modified, revoked, circumvented, found to be unenforceable or otherwise may not provide adequate barriers to entry or any competitive advantage;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because of the extensive time required for development, testing and regulatory review of a product candidate, it is possible that before a potential product can be commercialized, any related patent may expire, or remain in existence for only a short period following commercialization, thereby reducing, or eliminating any advantage of the patent;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competitors, many of which have substantially greater resources than we or our partners have, and many of which have made significant investments in competing technologies, may seek, or may already have sought or obtained, patents that will limit, interfere with or eliminate our ability to make, use and sell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may be significant pressure on the United States government and other governmental bodies to limit the scope of patent protection or impose compulsory licensing of patent rights for disease treatments that prove successful as a matter of public policy regarding worldwide health concerns;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countries other than the United States may have less robust patent laws than those upheld by United States courts, allowing foreign competitors the ability to exploit these laws to create, develop, and market competing products using our technologies and patents;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be involved in lawsuits and/or proceedings before government agencies, such as patent offices, to defend or enforce our patents or the patents we have rights to enforce, which could be expensive, time-consuming, distracting and/or unsuccessful.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to patents, we also rely on proprietary trade secrets and know-how. Although we have taken steps to protect our unpatented proprietary trade secrets and know-how, including maintaining data security protocols and capabilities and entering into confidentiality agreements with third parties, and confidential information and assignment agreements with employees, consultants and advisors, there exists the potential that third parties may still somehow obtain this information or arrive at the same or similar information independently, which could reduce or eliminate our competitive advantages. Moreover, we may become subject to allegations that we directly or indirectly (through our consultants, advisors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or independent contractors that we may engage to assist us in developing our product candidates) have wrongfully or inadvertently disclosed, acquired or used trade secrets or other proprietary information of third parties.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our trade secrets are not adequately protected, our business, financial condition, results of operations and prospects could be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risks are heightened due to our reliance on third parties, including third party CROs and CDMOs, for certain aspects of our business. The activities conducted by our third-party vendors require us to share our trade secrets with them, which increases the possibility that a competitor will discover them or that our trade secrets will be misappropriated or disclosed.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be forced to litigate to enforce or defend our intellectual property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may be forced to litigate to enforce or defend our intellectual property rights against infringement by competitors, and to protect our trade secrets and know-how against unauthorized use, but we may not be able to detect or prevent, alone or with our licensors, infringement, misappropriation or other violations of our intellectual property rights. In so doing, we may place our intellectual property at risk of being invalidated, rendered unenforceable or limited or narrowed in scope such that we may no longer be able to adequately prevent the manufacture, sale or import of competitive products. In an infringement proceeding, a court may decide that a patent we own or a patent we may license in the future is invalid or unenforceable or may refuse to stop the other party from using the invention at issue. Grounds for an unenforceability assertion could be an allegation that someone connected with prosecution of the patent withheld relevant information from the United States Patent and Trademark Office (the “USPTO”) or made a misleading statement during prosecution. The outcome following legal assertions of invalidity and unenforceability is unpredictable.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business, financial condition, results of operations or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Even if we establish infringement, the court may decide not to grant an injunction against further infringing activity and instead award only monetary damages, which may or may not be an adequate remedy. Moreover, an adverse result in any litigation or other proceedings before government agencies such as the USPTO, may place pending applications at risk of non-issuance or limitations in scope. Further, derivation proceedings, </w:t>
      </w:r>
      <w:r>
        <w:rPr>
          <w:rFonts w:ascii="Helvetica;Arial;sans-serif" w:hAnsi="Helvetica;Arial;sans-serif"/>
          <w:b w:val="false"/>
          <w:i/>
          <w:caps w:val="false"/>
          <w:smallCaps w:val="false"/>
          <w:color w:val="000000"/>
          <w:spacing w:val="-2"/>
          <w:sz w:val="20"/>
        </w:rPr>
        <w:t>ex parte</w:t>
      </w:r>
      <w:r>
        <w:rPr>
          <w:rFonts w:ascii="Helvetica;Arial;sans-serif" w:hAnsi="Helvetica;Arial;sans-serif"/>
          <w:b w:val="false"/>
          <w:i w:val="false"/>
          <w:caps w:val="false"/>
          <w:smallCaps w:val="false"/>
          <w:color w:val="000000"/>
          <w:spacing w:val="-2"/>
          <w:sz w:val="20"/>
        </w:rPr>
        <w:t xml:space="preserve"> reexamination, </w:t>
      </w:r>
      <w:r>
        <w:rPr>
          <w:rFonts w:ascii="Helvetica;Arial;sans-serif" w:hAnsi="Helvetica;Arial;sans-serif"/>
          <w:b w:val="false"/>
          <w:i/>
          <w:caps w:val="false"/>
          <w:smallCaps w:val="false"/>
          <w:color w:val="000000"/>
          <w:spacing w:val="-2"/>
          <w:sz w:val="20"/>
        </w:rPr>
        <w:t>inter partes</w:t>
      </w:r>
      <w:r>
        <w:rPr>
          <w:rFonts w:ascii="Helvetica;Arial;sans-serif" w:hAnsi="Helvetica;Arial;sans-serif"/>
          <w:b w:val="false"/>
          <w:i w:val="false"/>
          <w:caps w:val="false"/>
          <w:smallCaps w:val="false"/>
          <w:color w:val="000000"/>
          <w:spacing w:val="-2"/>
          <w:sz w:val="20"/>
        </w:rPr>
        <w:t xml:space="preserve"> review, post-grant review and opposition proceedings provoked by third parties or brought by the USPTO or any foreign patent authority may be used to challenge the inventorship, ownership, claim scope or validity of our patents. Additionally, because of the substantial amount of discovery typically required in connection with intellectual property litigation, there is a risk that some of our confidential and proprietary information, trade secrets or know-how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value of the company. Such litigation or proceedings could substantially increase our operating losses. reduce the resources available for development activities or any future sales, marketing or distribution activities and distract our personnel from their normal responsibilities.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caps w:val="false"/>
          <w:smallCaps w:val="false"/>
          <w:color w:val="000000"/>
          <w:spacing w:val="-2"/>
          <w:sz w:val="20"/>
        </w:rPr>
      </w:pPr>
      <w:r>
        <w:rPr>
          <w:rFonts w:ascii="Helvetica;Arial;sans-serif" w:hAnsi="Helvetica;Arial;sans-serif"/>
          <w:b/>
          <w:i/>
          <w:caps w:val="false"/>
          <w:smallCaps w:val="false"/>
          <w:color w:val="000000"/>
          <w:spacing w:val="-2"/>
          <w:sz w:val="20"/>
        </w:rPr>
        <w:t xml:space="preserve">The United States government and/or government agencies have provided funding or other assistance in connection with the development of the intellectual property rights owned by or licensed to us and if we enter into future arrangements involving government funding, and we make inventions as a result of such funding, our intellectual property rights to such discoveries may be subject to the applicable provisions of the Bayh Dole Act of 1980 (the “Bayh Dole Act”).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United States government and/or government agencies have provided funding or other assistance in connection with the development of the intellectual property rights licensed to us, and if we enter into future arrangements involving government funding, and we make inventions as a result of such funding, our intellectual property rights to such discoveries may be subject to the applicable provisions of the Bayh Dole Act. To the extent any of our current and future intellectual property is generated through the use of United States government funding, the provisions of the Bayh Dole Act may similarly apply. If we enter into future arrangements involving government funding, any exercise by the government of certain rights could harm our competitive position,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United States government rights in certain inventions developed under a government-funded program include a non-exclusive, non-transferable, irrevocable worldwide license to use inventions for governmental purposes. In addition, the United States government would have the right to require us to grant exclusive, partially-exclusive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which are referred to as “march-in” rights. The United States government will also have the right to take title to these inventions if we fail, or the applicable licensor fails, to disclose the invention to the government, elect title and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federal regulations such as march-in rights, certain reporting requirements, compliance with which may require us, or the applicable licensor,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become involved in patent litigation or other proceedings related to a determination of rights, we could incur substantial costs and expenses, substantial liability for damages or be required to stop our product development and commercialization efforts.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Our commercial success depends in part on our ability and the ability of any of our future partners to develop, manufacture, market and sell our product candidates and use our proprietary technologies without infringing on the intellectual proprietary rights of third parties. There is a substantial amount of litigation and patent office proceedings, both within and outside the United States, involving patent and other intellectual property rights in the biotechnology, biopharmaceutical, pharmaceutical and high-tech industries, including patent infringement lawsuits, oppositions, </w:t>
      </w:r>
      <w:r>
        <w:rPr>
          <w:rFonts w:ascii="Helvetica;Arial;sans-serif" w:hAnsi="Helvetica;Arial;sans-serif"/>
          <w:b w:val="false"/>
          <w:i/>
          <w:caps w:val="false"/>
          <w:smallCaps w:val="false"/>
          <w:color w:val="000000"/>
          <w:spacing w:val="-2"/>
          <w:sz w:val="20"/>
        </w:rPr>
        <w:t>ex parte</w:t>
      </w:r>
      <w:r>
        <w:rPr>
          <w:rFonts w:ascii="Helvetica;Arial;sans-serif" w:hAnsi="Helvetica;Arial;sans-serif"/>
          <w:b w:val="false"/>
          <w:i w:val="false"/>
          <w:caps w:val="false"/>
          <w:smallCaps w:val="false"/>
          <w:color w:val="000000"/>
          <w:spacing w:val="-2"/>
          <w:sz w:val="20"/>
        </w:rPr>
        <w:t xml:space="preserve"> reexaminations, post-grant review, </w:t>
      </w:r>
      <w:r>
        <w:rPr>
          <w:rFonts w:ascii="Helvetica;Arial;sans-serif" w:hAnsi="Helvetica;Arial;sans-serif"/>
          <w:b w:val="false"/>
          <w:i/>
          <w:caps w:val="false"/>
          <w:smallCaps w:val="false"/>
          <w:color w:val="000000"/>
          <w:spacing w:val="-2"/>
          <w:sz w:val="20"/>
        </w:rPr>
        <w:t>inter partes</w:t>
      </w:r>
      <w:r>
        <w:rPr>
          <w:rFonts w:ascii="Helvetica;Arial;sans-serif" w:hAnsi="Helvetica;Arial;sans-serif"/>
          <w:b w:val="false"/>
          <w:i w:val="false"/>
          <w:caps w:val="false"/>
          <w:smallCaps w:val="false"/>
          <w:color w:val="000000"/>
          <w:spacing w:val="-2"/>
          <w:sz w:val="20"/>
        </w:rPr>
        <w:t xml:space="preserve"> review, interference proceedings, and derivation proceedings before the USPTO and corresponding foreign patent offices. Numerous United States and foreign pending patent applications, which are owned by third parties, exist in the fields in which we are pursuing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may be subject to patent infringement claims, which could result in substantial costs and liability and prevent us from commercializing our potential products. Third parties may assert that we are employing their proprietary technology without authorization. There may be third-party patents or patent applications, which purport to claim compositions, formulations, methods of manufacture or methods for treatment relating to our product candidates, their manufacture or use. Because patent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applications in most countries remain confidential for a period of time after they are filed (commonly, 18 months), it is possible that there are unpublished patent applications that may later issue with claims that our product candidates may be alleged to infringe. Because patent applications can take many years to issue, there may be pending patent applications which do not currently seem relevant, but may later result in issued patents that our product candidates may be alleged to infringe. In addition, third parties may obtain patents in the future and then allege that our technologies infringe upon these patents. Additionally, under United States patent law, a patent owner may seek a reissue within two years of issuance of a patent to broaden the scope of that patent’s claims. As a result, patents that, at the time of issuance, do not appear relevant to our activities may later be broadened in a manner that could impact our business. We cannot assure that any of our or our licensors’ patent searches or analyses, including the identification of relevant patents, the scope of patent claims or the expiration of relevant patents, are or will be complete or thorough, nor can we be certain that we or our licensors have identified or will identify each and every third-party patent and pending patent application in the United States and abroad that is relevant to or necessary for the development, manufacture, and commercialization of our current and future products and product candidates in any jurisdiction. Our interpretation of the relevance or the scope of a patent or a pending patent application may be incorrect, which may negatively impact our ability to market our products. We may incorrectly determine that our products or product candidates are not covered by a third-party patent or may incorrectly predict whether a third party’s pending patent application will issue with claims of relevant scope. Alternatively, we may incorrectly determine that the Hatch-Waxman Amendments (as defined below) are a defense for a safe harbor to infringement of a patent we consider relevant to the research or clinical development of our product candidates.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manufacture and market our products and product candidates. If we fail to identify and correctly interpret relevant patents, we may be subject to infringement claims. As the number of competitors in the market grows and the number of patents issued in this area increases, the possibility of patent infringement claims escalates. Defense of infringement and other claims, regardless of their merit, would involve substantial litigation expense and would be a substantial diversion of employee resources from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Third party claims of intellectual property infringement may prevent or delay our development and commercialization efforts. We work in a highly competitive field. Numerous U.S. and foreign-issued patents and pending patent applications owned by third parties exist in the fields in which we plan to commercialize our products, including thromboembolic disease, Stargardt disease, and anemia of chronic disease, for which we are developing our product candidates using our proprietary City Platform technologies, as well as retinal diseases and CNS diseases, for which we are developing product candidates in collaborations with partners. Some of these applications may be confidential for a period of time after they are filed (commonly, 18 months). As we gain greater visibility and market exposure as a public company, the risk increases that our programs and commercialization activities may give rise to claims of infringement of the patent rights of others. We cannot assure you that our product candidates and other proprietary technologies we develop will not infringe existing or future patents owned by third parties. We may not be aware of patents that have already been issued for which a third party, such as a competitor in the fields in which we are developing our product candidates,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any of our current or future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 third party alleges that we infringe its intellectual property rights, we may face a number of issues, including, but not limited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infringement and other intellectual property allegations, which, regardless of merit, may be expensive and time-consuming to litigate and may divert our management’s attention and financial resources from our core business;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(and, in certain jurisdictions outside of the United States, we could be ordered to pay the patent owner’s attorneys’ fees even without such finding);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14">
                <wp:simplePos x="0" y="0"/>
                <wp:positionH relativeFrom="column">
                  <wp:align>left</wp:align>
                </wp:positionH>
                <wp:positionV relativeFrom="line">
                  <wp:posOffset>635</wp:posOffset>
                </wp:positionV>
                <wp:extent cx="254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court prohibiting us from developing, manufacturing, importing, marketing or selling our product candidates, or from using our proprietary technologies, unless the third party licenses its product rights to use, which it is not required to do;</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if a license is available from a third party, we may have to pay substantial royalties, upfront fees, milestones and other amounts and/or grant cross-licenses to intellectual property rights for our products;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redesigning our product candidates or processes so they do not infringe, which may not be possible or may require substantial monetary expenditures and time.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of the foregoing could have a material adverse effect on our business, results of operations, financial condition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commercialize our product candidates in the United States and abroad may be adversely affected if we cannot successfully defend against infringement allegations or obtain a license on commercially reasonable terms to relevant third party patents that cover our product candidates. Even if we have a strong defense and/or believe that third party intellectual property allegations are without merit, there can be no assurance that a court would find in our favor on questions of infringement, validity, enforceability and/or priority. A court of competent jurisdiction could hold that these third party patents are valid and enforceable and have been infringed upon, which could materially and adversely affect our ability to commercialize our product candidates or technologies covered by the asserted third party patents. In order to successfully challenge the validity of any such United States patent in federal court, we would need to overcome a presumption of validity. As this burden is high, which requires us to present clear and convincing evidence as to the invalidity of any such United States patent claims, there is no assurance that a court of competent jurisdiction would invalidate the asserted claims of any such United States patent.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found to infringe a third party’s intellectual property rights, and we are unsuccessful in demonstrating that any such patents are invalid or unenforceable, any license we are able to obtain may be non-exclusive, thereby giving our competitors and other third parties access to the same technologies licensed to us, and may require us to pay substantial licensing fees and/or make ongoing royalty payments. If we are unable to obtain a necessary license to a third-party patent on commercially reasonable terms, we may be unable to commercialize our product candidates or such commercialization efforts may be significantly delayed, which could in turn significantly harm our business. We also could be found liable for significant monetary damages, including treble damages and attorneys’ fees, if we are found to have willfully infringed on a patent or other intellectual property right.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in recent years, individuals and groups that are non-practicing entities, commonly referred to as “patent trolls,” have acquired patents and other intellectual property assets for the purpose of making claims of infringement in order to extract settlements. From time to time, we may receive demand letters, notices or “invitations to license,” or may be the subject of claims that our products and business operations infringe or violate the intellectual property rights of others.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not be successful in obtaining or maintaining necessary intellectual property rights to product components and manufacturing processes for our development pipeline.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At present, we have rights to certain intellectual property through licenses from third parties and under patent filings that we own, to develop our product candidates. Because our pipeline may involve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 product candidates that could require the use of proprietary rights held by third parties, the growth of our business could depend in part on our ability to acquire, in-license or use these proprietary rights. In addition, our product candidates may require specific pharmaceutical formulations or delivery technologies to work effectively and efficiently, and these rights may be held by others. We may be unable to acquire or in-license intellectual property rights that may be necessary to permit us to implement our City Platform technologies or develop, manufacture or use our product candidates. The licensing and acquisition of third-party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Further, we may be unable to negotiate a license within the specified time frame or under terms that are acceptable to us. If we are unable to do so, the third party may offer the intellectual property rights to other parties, potentially blocking our ability to pursue our product candidate and enabling our competitors to compete with our product candidate.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work in highly competitive fields, in which numerous United States and foreign-issued patents and pending patent applications owned by third parties exist. Competitive products and/or competitive advanced clinical assets owned by third parties exist. We may not be able to effectively secure first-tier technologies when competing against other companies or investors.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our business, financial condition, results of operations and prospects could suffer.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dependent on intellectual property that we have in-licensed from third parties, and our failure to comply with our obligations under these licenses could result in loss of rights that are critical to our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in-licensed from third parties intellectual property that is material to our development programs and product candidates. Our rights under these licenses are subject to our compliance with ongoing obligations, which may include the payment of fees, milestones, and royalties; the achievement of development diligence milestones; the filing and prosecution of licensed patents; and other obligations. If we fail to comply with any such obligations, our licensors may have the right to terminate our licenses. Loss of our exclusivity or termination of one or more of our in-licenses could materially impair our ability to develop and commercialize our product candidates, could allow competitors to access the same technology, and could have a material adverse effect on our business, financial condition, results of operations and prospects. We may also need to renegotiate the terms of our licenses in the future, and we cannot guarantee that any renegotiation would result in terms favorable to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rights to develop and commercialize our product candidates are, and in the future, may be subject to the terms and conditions of licenses granted to us by others.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dependent on patent rights, know-how and proprietary technology licensed or otherwise acquired from third parties, and we may also enter into additional agreements with third parties in the future. Our current license agreements with third parties impose, and may in the future impose additional diligence, development and commercialization timelines, milestone payments, royalties, indemnification, insurance, non-competes or other obligations on us. If we fail to comply with our obligations to our licensors, collaborators or other third parties, our counterparties may have the right to terminate or take other actions under these agreements. Termination of these agreements or reduction or elimination of our rights under these agreements may result in us having to negotiate new or reinstated agreements with less favorable terms, or cause us to lose our rights under these agreements, including our rights to important intellectual property or technology that are necessary for our business. In particular, we depend on our exclusive license agreement with OSIF, pursuant to which we in-license patent rights related to our technology platform. As described elsewhere in this prospectus, OSIF may terminate the OSIF License Agreement for cause under specified circumstances.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success will depend in part on the ability of our licensors to obtain, maintain and enforce patent protection for our licensed intellectual property. Further, certain patent filings relating to our product candidates may now or in the future be subject to step-in rights of certain of our licensors. We have limited control over certain of our licensors, and may in the future have limited control of our other licensors, prosecution activities or use or licensing of any other intellectual property that may be related to our in-licensed intellectual property. Our licensors may not successfully prosecute the patent applications we license. Even if patents issue from these patent applications, our licensors may fail to maintain these patents, may determine not to pursue litigation against other companies that are infringing these patents, or may pursue such litigation less aggressively than we would. If any of our licensors or licensees having rights to file, prosecute, maintain and defend our patent rights fail to conduct these activities for patents or patent applications covering any of our product candidates, our ability to develop and commercialize those product candidates may be adversely affected and we may not be able to prevent competitors or other third parties from making, using or selling competing products. In addition, we may sublicense certain of our rights under various third-party licenses to our collaboration partners. Any impairment of these sublicensed rights could result in reduced revenues under our partnership, collaboration or licensing arrangement or result in termination of an agreement by one or more of our collaboration partners. In addition, intellectual property rights that we may in-license in the future may be sublicensed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cannot be certain that such activities by our licensors have been or will be conducted in compliance with applicable laws and regulations or will result in valid and enforceable patents or other intellectual property rights. Pursuant to the terms of the license agreements with our licensors, such licensors may have the right to control enforcement of our licensed patents or defense of any allegations asserting the invalidity of such patents and, even if we are permitted to pursue such enforcement or defense, we cannot ensure the cooperation of our licensors or, in some cases, other necessary parties, such as any co-owners of patents or other intellectual property from which we have not yet obtained a license. We cannot be certain that our licensors will allocate sufficient resources or prioritize their or our enforcement of such patents or defense of such allegations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allegations asserting the invalidity of those patents, we may still be adversely affected or prejudiced by actions or inactions of our licensors and their counsel that took place prior to or after assuming control.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current or future license agreements may not provide exclusive or sufficient rights to use such intellectual property and technology in all relevant fields of use and in all territories in which we may wish to develop or commercialize our product candidates in the future. Some licenses granted to us may be subject to certain preexisting rights held by the licensors or certain third parties. As a result, we may not be able to prevent third parties from developing and commercializing competitive products in certain territories or fields.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event that our third-party licensors or other counterparties determine that, in spite of our efforts, we have breached a license agreement or have failed to meet certain obligations thereunder, it may elect to terminate the applicable agreement or, in some cases, one or more licenses under such agreement or otherwise restrict our rights under the agreement. Such termination or restriction of rights could result in us losing the ability to develop and commercialize product candidates and technology covered by the licensed intellectual property. In the event of such termination, or if the underlying patent rights under a third party in-license or other agreement fail to provide the intended exclusivity, third parties may be able to seek regulatory approval of, and to market, products identical to ours and we may be required to cease the development and commercialization of our product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candidates. Moreover, our licensors may own or control intellectual property that has not been licensed to us and, as a result, we may be subject to allegations, regardless of their merit, that we are infringing or otherwise violating a licensor’s rights. Any of these events could have a material adverse effect on our competitive position, business, financial conditions,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agreements under which we license or otherwise acquire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may also arise between us and our licensors or other counterparties regarding intellectual property subject to a license agreement, including: the scope of rights granted under the agreement and other interpretation-related issues; whether and the extent to which our technology and processes infringe on intellectual property of the licensor that is not subject to the agreement; our right to sublicense patent and other rights to third parties under collaborative development relationships; our diligence obligations with respect to the use of the licensed or otherwise acquired technology in relation to our development and commercialization of our product candidates, and what activities satisfy those diligence obligations; and the ownership of inventions and know-how resulting from the joint creation or use of intellectual property by our licensors and us and our collaboration partners.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disputes over intellectual property that we have licensed prevent or impair our ability to maintain our current licensing arrangements on favorable terms, we may be unable to successfully develop and commercialize the affected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are unable to protect the confidentiality of our proprietary trade secrets or know-how, our business and competitive position would be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patent protection, we rely heavily upon proprietary know-how protection and data security protocols and capabilities, as well as non-disclosure agreements and invention assignment agreements with our employees, consultants and third parties, to protect our confidential and proprietary information, especially where we do not believe patent protection is appropriate or obtainable.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It is our policy to require our employees, corporate collaborators, outside scientific collaborators, CROs, CDMOs, service providers, consultants, advisors and other third parties to execute confidentiality agreements upon the commencement of employment, consulting or business relationships with us. These agreements generally provide that all confidential information concerning our business or financial affairs developed by or made known to an individual or entity during the course of that party’s relationship with us are to be kept confidential and not disclosed to third parties, except in certain specified circumstances. In the case of employees, the agreements also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third-party service providers, the agreements provide us with certain rights to all inventions arising from the services provided to us by those individuals or entities. However, we cannot assure that we have entered into agreements with each party that may have or have had access to our proprietary technologies and processes. Additionally, the assignment of intellectual property rights may not be self-executing, or assignment agreements may be breached, and we may be forced to bring claims against third parties, or defend allegations that they may bring against us, to determine the ownership of what we regard as our intellectual property. We may not be able to obtain adequate remedies for any breaches of such agreements. Ultimately, enforcing a claim that a party wrongfully or illegally disclosed or misappropriated trade secrets or know-how can be difficult, expensive and time consuming, and the outcome is unpredictable.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contractual measures, we try to protect the confidential nature of our proprietary information through other appropriate precautions, such as physical and technological security measures. However, trade secrets and know-how can be difficult to protect despite these precautions. Such measures may not, for example, in the case of misappropriation of trade secrets or know-how by an employee, former employee, or third party with authorized access, provide adequate protection for our proprietary information. Our security measures may not prevent an employee, former employee, or consultant from misappropriating our trade secrets or know-how and providing them to a competitor, and recourse we take against such misconduct may not provide an adequate remedy to protect our interests fully. Enforcing a claim that a party wrongfully or illegally disclosed or misappropriated trade secrets or know-how can be difficult, expensive and time-consuming, and the outcome is unpredictable. In addition, trade secrets and know-how may be independently developed by others in a manner that could prevent legal recourse by us. If any of our confidential or proprietary information, such as our trade secrets or know-how, were to be disclosed or misappropriated, or if any such information were independently developed by a competitor, our competitive position could be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Former employees may obtain employment with companies or academic institutions that could be considered competitive with us and are operating their business in areas that are similar to ours, including in their business model, product design efforts, product development or formulation technology. This competition may be limited by contractual provisions which may or may not be enforceable by us in the Commonwealth of Massachusetts or other jurisdictions. In addition, we may not be aware of such competitive employment arrangements until after our trade secrets or know-how has been disclosed to potentially competitive companies.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choose to go to court to stop a third party from using any of our trade secrets or know-how, we may incur substantial costs. In addition, courts inside and outside the United States are sometimes less willing or unwilling to protect trade secrets or know-how. Even if we are successful, these types of lawsuits may consume, in addition to substantial costs, significant amounts of our time and other resources. We may also need to share our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Any of the foregoing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be subject to allegations that our employees, consultants or independent contractors have wrongfully used or disclosed confidential information of third parties or that our employees have wrongfully used or disclosed alleged trade secrets of their former employers.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is common in the biotechnology industry, we employ individuals, including certain of our employees, who are or were previously employed at academic institutions or other biotechnology companies, including our competitors or potential competitors. For example, many of our co-founders and employees have held various positions in academia and in the RNAi industry. Although we seek to ensure that our employees, consultants and independent contractors do not use the proprietary information or know-how of others in their work for us, we may be subject to allegations that we, or our employees, consultants or independent contractors, have inadvertently or otherwise used or disclosed intellectual property, including trade secrets, know-how or other proprietary information, of any of our employees’ former employers or other third parties. Litigation may be necessary to defend against these allegations. If we fail in defending against any such allegations, in addition to paying monetary damages, we may lose valuable intellectual property rights or personnel, which could adversely impact our business. Even if we are successful in defending against such allegations, litigation could result in substantial costs and be a distraction to management and other employees.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be subject to allegations challenging the inventorship or ownership of our patents and other intellectual property.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may be subject to allegations that former employees, collaborators or other third parties have an ownership interest in our patents or other intellectual property. Ownership disputes may arise,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example, from conflicting obligations of consultants or others who are involved in developing our product candidates. Litigation may be necessary to defend against these and other allegations challenging inventorship or ownership. If we fail in defending against any such allegations, in addition to paying monetary damages, we may lose valuable intellectual property rights, such as exclusive ownership of, or right to use, valuable intellectual property. Such an outcome could have a material adverse impact on our business. Even if we are successful in defending against such allegations, litigation could result in substantial costs and be a distraction to management and other employees.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Periodic maintenance fees, renewal fees, annuity fees and various other governmental fees on patents or applications will be due to be paid to the USPTO and various non-United States patent agencies in several stages over the lifetime of the patents or applications. The USPTO and non-United States patent agencies also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impact on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public health pandemics, geopolitical instability,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our product candidates. There could also be delays at the USPTO caused by staffing cuts and other United States government actions as a result of the United States Department of Government Efficiency or other executive actions to reduce the size of the United States government.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USPTO and various non-United States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w:t>
      </w:r>
      <w:r>
        <w:rPr>
          <w:rFonts w:ascii="Helvetica;Arial;sans-serif" w:hAnsi="Helvetica;Arial;sans-serif"/>
          <w:b w:val="false"/>
          <w:i/>
          <w:caps w:val="false"/>
          <w:smallCaps w:val="false"/>
          <w:color w:val="000000"/>
          <w:spacing w:val="-2"/>
          <w:sz w:val="20"/>
        </w:rPr>
        <w:t>e.g.</w:t>
      </w:r>
      <w:r>
        <w:rPr>
          <w:rFonts w:ascii="Helvetica;Arial;sans-serif" w:hAnsi="Helvetica;Arial;sans-serif"/>
          <w:b w:val="false"/>
          <w:i w:val="false"/>
          <w:caps w:val="false"/>
          <w:smallCaps w:val="false"/>
          <w:color w:val="000000"/>
          <w:spacing w:val="-2"/>
          <w:sz w:val="20"/>
        </w:rPr>
        <w:t xml:space="preserve">,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Issued patents covering our product candidates could be found invalid or unenforceable if challenged in court.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If we or one of our collaboration partners were to initiate legal proceedings against a third party to enforce a patent covering one of our product candidates, the defendant could counterclaim that the patent covering our product candidate is invalid and/or unenforceable. In patent litigation in the United States, counterclaims alleging invalidity or unenforceability are commonplace. Grounds for a validity challenge could be an alleged failure to meet any of several statutory requirements, including patent subject matter eligibility, novelty, non-obviousness, written description and/or enablement. Grounds for an unenforceability assertion could be an allegation that someone connected with prosecution of the patent withheld relevant information from the USPTO, or made a misleading statement, during prosecution. Third parties may also raise similar allegations before administrative bodies in the United States or abroad, even outside the context of litigation. Such mechanisms include </w:t>
      </w:r>
      <w:r>
        <w:rPr>
          <w:rFonts w:ascii="Helvetica;Arial;sans-serif" w:hAnsi="Helvetica;Arial;sans-serif"/>
          <w:b w:val="false"/>
          <w:i/>
          <w:caps w:val="false"/>
          <w:smallCaps w:val="false"/>
          <w:color w:val="000000"/>
          <w:spacing w:val="-2"/>
          <w:sz w:val="20"/>
        </w:rPr>
        <w:t>ex parte</w:t>
      </w:r>
      <w:r>
        <w:rPr>
          <w:rFonts w:ascii="Helvetica;Arial;sans-serif" w:hAnsi="Helvetica;Arial;sans-serif"/>
          <w:b w:val="false"/>
          <w:i w:val="false"/>
          <w:caps w:val="false"/>
          <w:smallCaps w:val="false"/>
          <w:color w:val="000000"/>
          <w:spacing w:val="-2"/>
          <w:sz w:val="20"/>
        </w:rPr>
        <w:t xml:space="preserve"> reexamination, </w:t>
      </w:r>
      <w:r>
        <w:rPr>
          <w:rFonts w:ascii="Helvetica;Arial;sans-serif" w:hAnsi="Helvetica;Arial;sans-serif"/>
          <w:b w:val="false"/>
          <w:i/>
          <w:caps w:val="false"/>
          <w:smallCaps w:val="false"/>
          <w:color w:val="000000"/>
          <w:spacing w:val="-2"/>
          <w:sz w:val="20"/>
        </w:rPr>
        <w:t>inter partes</w:t>
      </w:r>
      <w:r>
        <w:rPr>
          <w:rFonts w:ascii="Helvetica;Arial;sans-serif" w:hAnsi="Helvetica;Arial;sans-serif"/>
          <w:b w:val="false"/>
          <w:i w:val="false"/>
          <w:caps w:val="false"/>
          <w:smallCaps w:val="false"/>
          <w:color w:val="000000"/>
          <w:spacing w:val="-2"/>
          <w:sz w:val="20"/>
        </w:rPr>
        <w:t xml:space="preserve"> review, post-grant review, interference proceedings, derivation proceedings, and equivalent proceedings in foreign jurisdictions (</w:t>
      </w:r>
      <w:r>
        <w:rPr>
          <w:rFonts w:ascii="Helvetica;Arial;sans-serif" w:hAnsi="Helvetica;Arial;sans-serif"/>
          <w:b w:val="false"/>
          <w:i/>
          <w:caps w:val="false"/>
          <w:smallCaps w:val="false"/>
          <w:color w:val="000000"/>
          <w:spacing w:val="-2"/>
          <w:sz w:val="20"/>
        </w:rPr>
        <w:t>e.g.</w:t>
      </w:r>
      <w:r>
        <w:rPr>
          <w:rFonts w:ascii="Helvetica;Arial;sans-serif" w:hAnsi="Helvetica;Arial;sans-serif"/>
          <w:b w:val="false"/>
          <w:i w:val="false"/>
          <w:caps w:val="false"/>
          <w:smallCaps w:val="false"/>
          <w:color w:val="000000"/>
          <w:spacing w:val="-2"/>
          <w:sz w:val="20"/>
        </w:rPr>
        <w:t>, opposition proceedings). Such proceedings could result in revocation or amendment of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of patent rights covering a product candidate, we would lose at least part, and perhaps all, of the patent protection on our product candidates. Such a loss of patent protection could have a material adverse impact on our business.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United StatesC. § 271(e)(1).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do not obtain sufficient patent term for our product candidates, our business may be materially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Patents have a limited term, and third parties may be able to circumvent our patents by developing similar or alternative products and technologies in a non-infringing manner, or develop and commercialize products and technologies similar or identical to ours and compete directly against us after the expiration of our patent rights, if any, and our ability to successfully commercialize any product or technology would be materially adversely affected. The terms of individual patents depend upon the legal term for patents in the countries in which they are granted. In most countries, including the United States, if all maintenance fees are timely paid, the natural expiration of a patent is generally 20 years from the earliest non-provisional filing date in the applicable country. However, the actual protection afforded by a patent varies from country to country, and also depends upon many factors, including the type of patent, the scope of coverage, the availability of regulatory-related extensions, the availability of extensions for patent office delays during the examination process, the availability of legal remedies in a particular country and the validity and enforceability of the patent, and whether a portion of the patent term has been terminally disclaimed based on other patents. These factors may emerge and change over the course of time, and accordingly, a patent’s expiration date might change over time in unpredictable ways. Various extensions including patent term extension and patent term adjustment may be available, but the durations of such extensions, and the protections they afford, are limited in the United States and other countries and regions. Additional patent terms may be available through a patent term adjustment process in the United States, resulting from USPTO delays during prosecution. Although various extensions may be available, the life of a patent, and the protection it affords, is limited. Even if patents covering our product candidates are obtained, once the patent life has expired for a product candidate, we may be open to competition from generics or biosimilars.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Depending upon the timing, duration and specifics of FDA regulatory approval of our product candidates, one or more patents issued from United States patent applications that we or a future licensor file may be eligible for limited patent term restoration under the Drug Price Competition and Patent Term Restoration Act of 1984 (the “Hatch-Waxman Amendments”). The Hatch-Waxman Amendments permit a patent restoration term of up to five years as compensation for patent term lost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FDA regulatory review process based on the first regulatory approval for a particular drug or biologic. A maximum of one patent may be extended per FDA-approved drug as compensation for the patent term lost during the FDA regulatory review process. A patent term extension cannot extend the remaining term of a patent beyond a total of 14 years from the date of drug approval, and only those claims covering such approved drug product, a method for using it or a method for manufacturing it may be extended. Patent term extension may also be available in certain foreign countries upon regulatory approval of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Despite the possibility of an extension, we may not be granted an extension in the United States or another jurisdiction because of, for example, failure to exercise due diligence during the testing phase or regulatory review process, failing to apply within applicable deadlines, failing to apply prior to expiration of relevant patents or otherwise failing to satisfy applicable requirements. Moreover, the applicable time or the scope of patent protection afforded could be less than we request.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unable to obtain patent term extension or restoration, or the foreign equivalent, or the term of any such extension is less than we request, our competitors or other third parties may obtain approval of competing drugs following our patent expiration, and our revenue could be reduced, possibly materially. Further, if this occurs, our competitors or other third parties may take advantage of our investment in development and trials by referencing our clinical and preclinical data and launch their drug earlier than might otherwise be the case. Any of the foregoing could materially harm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enjoy only limited geographical protection with respect to certain patents and we may not be able to protect our intellectual property rights throughout the world.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Filing and prosecuting patent applications and defending patents covering our product candidates in all countries throughout the world would be prohibitively expensive. Competitors may use our technologies and innovations in jurisdictions where we have not obtained patent protection to develop their own products and, further, may export otherwise infringing products to territories where we have patent protection, but enforcement rights are not as strong as those in the United States or Europe. These products may compete with our product candidates, and our and our licensors’ future patents or other intellectual property rights may not be effective or sufficient to prevent them from competing.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Furthermore, the requirements for patentability differ in certain jurisdictions and countries. Some countries do not grant claims directed to methods of treatment or have additional restrictions on the scope of method of treatment claims compared to the United States Accordingly, depending on the country, the scope of patent protection may vary for the same product candidate.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we intend to protect our intellectual property rights in our expected significant markets, we cannot ensure that we will be able to initiate or maintain protection efforts in all such markets. Additionally, the prosecution of patent applications in other jurisdictions is often a longer process and patents may be granted at a later date than in the United States, potentially delaying our ability to assert such patents against competitors.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infringement of any patents we obtain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any patents we obtain at risk of being invalidated or interpreted narrowly and our patent applications at risk of not issuing as patents, and could provoke third parties to legal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this could negatively impact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Europe, a new unitary patent system took effect on June 1, 2023, which may significantly impact European patents, including those granted before the introduction of the new system. Under the new system, applicants can, upon grant of a European patent, opt for that patent to become a unitary patent which will be subject to the jurisdiction of a new unitary patent court (“UPC”). During the first seven years of the UPC’s existence, patents granted before the implementation of the new system can be opted out of UPC jurisdiction, and validated as national patents in any one or more of the UPC countries. We may decide to opt out future European patents from the UPC, but doing so may preclude us from realizing the benefits of the UPC. Moreover, if we do not meet all of the formalities and requirements for opt-out under the UPC, our future European patents could remain under the jurisdiction of the UPC. Patents that are under the jurisdiction of the UPC may be challenged in a single UPC-based revocation proceeding that, if successful, could invalidate the patent in all countries that are signatories to the UPC. The UPC will provide our competitors with a new forum to centrally revoke our European patents, and allow for the possibility of a competitor to obtain pan-European injunction. Further, because the UPC is a new court system and there is no precedent for the court’s laws, there is increased uncertainty regarding the outcome of any patent litigation. We are unable to predict what impact the new patent regime may have on our ability to exclude competitors in the European market. In addition to changes in patent laws, geopolitical dynamics, such as Russia’s invasion of Ukraine, may also impact our ability to obtain and enforce patents in particular jurisdictions, such as the enforcement of patent rights in Russia. If we are unable to obtain and enforce patents as needed in particular markets, our ability to exclude competitors in those markets may be reduced.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Changes in patent law could diminish the value of patents in general, thereby impairing our ability to protect our products.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is the case with other biotechnology companies, our success is heavily dependent on intellectual property, particularly patents. Obtaining, defending, maintaining and enforcing patents in the biotechnology industry involves both technological and legal complexity and is therefore costly, time consuming and inherently uncertain. Changes in either the patent laws or interpretation of the patent laws in the United States and in other major jurisdictions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the patent positions of companies in the development and commercialization of biopharmaceuticals are particularly uncertain. Recent rulings from the United States Supreme Court and the Court of Appeals for the Federal Circuit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decisions by the United States Congress, the federal courts and the USPTO, the laws and regulations governing patents could change in unpredictable ways that would weaken our ability to obtain new patents or to enforce our existing patents and patents that we might obtain in the future. In addition,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validity and enforceability of issued patents. Depending on future actions by the United States Congress, federal courts, the USPTO and the relevant law-making bodies in other countries, the laws and regulations governing patents could change in unpredictable ways that would weaken our or our licensors’ ability to obtain new patents and patents that we or our licensors might obtain in the future. We cannot predict how future decisions by the federal courts, the United States Congress or the USPTO may impact the value of our patents. Any similar adverse change in the patent laws of other jurisdictions could also adversely affect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our United States patent applications, which contain claims entitled to a priority date after March 16, 2013, there is a greater level of uncertainty due to the Leahy-Smith America Invents Act (the “Leahy-Smith Act”), which was signed into law on September 16, 2011. The Leahy-Smith Act included a number of significant changes to United States patent law. These included provisions that affect the way patent applications are prosecuted, redefine prior art and provide more efficient and cost-effective avenues for competitors to challenge the validity of patents. The USPTO has promulgated regulations and developed procedures to govern administration of the Leahy-Smith Act, and many of the substantive changes to patent law associated with the Leahy-Smith Act did not come into effect until March 16,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either to: (i) file any patent application related to our product candidates or (ii) invent any of the inventions claimed in our patents or patent applications.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Among some of the other changes introduced by the Leahy-Smith Act are changes that limit where a patentee may file a patent infringement suit and new procedures providing opportunities for third parties to challenge any issued patent in the USPTO. These new post grant challenges include post-grant review and </w:t>
      </w:r>
      <w:r>
        <w:rPr>
          <w:rFonts w:ascii="Helvetica;Arial;sans-serif" w:hAnsi="Helvetica;Arial;sans-serif"/>
          <w:b w:val="false"/>
          <w:i/>
          <w:caps w:val="false"/>
          <w:smallCaps w:val="false"/>
          <w:color w:val="000000"/>
          <w:spacing w:val="-2"/>
          <w:sz w:val="20"/>
        </w:rPr>
        <w:t>inter partes</w:t>
      </w:r>
      <w:r>
        <w:rPr>
          <w:rFonts w:ascii="Helvetica;Arial;sans-serif" w:hAnsi="Helvetica;Arial;sans-serif"/>
          <w:b w:val="false"/>
          <w:i w:val="false"/>
          <w:caps w:val="false"/>
          <w:smallCaps w:val="false"/>
          <w:color w:val="000000"/>
          <w:spacing w:val="-2"/>
          <w:sz w:val="20"/>
        </w:rPr>
        <w:t xml:space="preserve"> review proceedings before the Patent Trial and Appeal Board at the USPTO. Because of a lower evidentiary standard in USPTO proceedings compared to the evidentiary standard in United States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However, recent changes at the USPTO have resulted in many fewer </w:t>
      </w:r>
      <w:r>
        <w:rPr>
          <w:rFonts w:ascii="Helvetica;Arial;sans-serif" w:hAnsi="Helvetica;Arial;sans-serif"/>
          <w:b w:val="false"/>
          <w:i/>
          <w:caps w:val="false"/>
          <w:smallCaps w:val="false"/>
          <w:color w:val="000000"/>
          <w:spacing w:val="-2"/>
          <w:sz w:val="20"/>
        </w:rPr>
        <w:t>inter partes</w:t>
      </w:r>
      <w:r>
        <w:rPr>
          <w:rFonts w:ascii="Helvetica;Arial;sans-serif" w:hAnsi="Helvetica;Arial;sans-serif"/>
          <w:b w:val="false"/>
          <w:i w:val="false"/>
          <w:caps w:val="false"/>
          <w:smallCaps w:val="false"/>
          <w:color w:val="000000"/>
          <w:spacing w:val="-2"/>
          <w:sz w:val="20"/>
        </w:rPr>
        <w:t xml:space="preserve"> review proceedings being instituted, and the USPTO has proposed modifications to the rules of practice for implementing </w:t>
      </w:r>
      <w:r>
        <w:rPr>
          <w:rFonts w:ascii="Helvetica;Arial;sans-serif" w:hAnsi="Helvetica;Arial;sans-serif"/>
          <w:b w:val="false"/>
          <w:i/>
          <w:caps w:val="false"/>
          <w:smallCaps w:val="false"/>
          <w:color w:val="000000"/>
          <w:spacing w:val="-2"/>
          <w:sz w:val="20"/>
        </w:rPr>
        <w:t>inter partes</w:t>
      </w:r>
      <w:r>
        <w:rPr>
          <w:rFonts w:ascii="Helvetica;Arial;sans-serif" w:hAnsi="Helvetica;Arial;sans-serif"/>
          <w:b w:val="false"/>
          <w:i w:val="false"/>
          <w:caps w:val="false"/>
          <w:smallCaps w:val="false"/>
          <w:color w:val="000000"/>
          <w:spacing w:val="-2"/>
          <w:sz w:val="20"/>
        </w:rPr>
        <w:t xml:space="preserve"> review proceedings and </w:t>
      </w:r>
      <w:r>
        <w:rPr>
          <w:rFonts w:ascii="Helvetica;Arial;sans-serif" w:hAnsi="Helvetica;Arial;sans-serif"/>
          <w:b w:val="false"/>
          <w:i/>
          <w:caps w:val="false"/>
          <w:smallCaps w:val="false"/>
          <w:color w:val="000000"/>
          <w:spacing w:val="-2"/>
          <w:sz w:val="20"/>
        </w:rPr>
        <w:t>ex parte</w:t>
      </w:r>
      <w:r>
        <w:rPr>
          <w:rFonts w:ascii="Helvetica;Arial;sans-serif" w:hAnsi="Helvetica;Arial;sans-serif"/>
          <w:b w:val="false"/>
          <w:i w:val="false"/>
          <w:caps w:val="false"/>
          <w:smallCaps w:val="false"/>
          <w:color w:val="000000"/>
          <w:spacing w:val="-2"/>
          <w:sz w:val="20"/>
        </w:rPr>
        <w:t xml:space="preserve"> reexamination. The proposed modifications, if adopted, could impact the ability of third parties, including us, to challenge the validity of granted United States patents before the USPTO.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actions related to Russia’s invasion of Ukraine resulted in Russia issuing Decree No. 299 that effectively nullifies the enforcement of Russian patents owned by entities and individuals in “unfriendly” countries, including the United States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Any trademarks we have obtained or may obtain may be infringed or otherwise violated or successfully challenged. If our trademarks and trade names are not adequately protected, including if we are unable to obtain or establish desired trademarks rights or trade names rights, then we may not be able to build brand name recognition in our markets of interest and our business may be adversely affected.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to rely on trademarks as one means to distinguish our product candidates, if approved for marketing, from third party products. Once we select new trademarks and apply to register them, our trademark applications may not be approved. During trademark registration proceedings in the United States and foreign jurisdictions, we may receive rejections. We are given an opportunity to respond to those rejections, but we may not be able to overcome such rejections.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also not yet registered trademarks for any of our product candidates in any jurisdiction. Any trademark applications we file may be rejected and registered trademarks may not be obtained, maintained or enforced. If we do not successfully register our trademarks, we may encounter difficulty in enforcing, or be unable to enforce, our trademark rights against third parties, which could adversely affect our business and our ability to effectively compete in the marketplace.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any proprietary name we propose to use with any of our product candidates in the United States will need to be approved by the FDA, regardless of whether we have registered, or applied to register, the proposed proprietary name as a trademark. The FDA conducts a review of proposed proprietary names, including an evaluation of potential for confusion with other products’ proprietary names. If the FDA objects to any of our proposed proprietary product names, we may be required to expend significant additional resources in an effort to identify a suitable alternative proprietary name that would qualify for protection under applicable trademark laws, not infringe the existing rights of third parties and be acceptable to the FDA.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our unregistered trademarks or trade names may be challenged, infringed, circumvented, declared generic, or determined to be infringing on, misappropriating or violating other marks.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 registrations may not survive such proceedings.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impeding our ability to build brand identity and possibly leading to market confusion.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competitors may also infringe or otherwise violate our trademarks and we may not have adequate resources to enforce our trademarks. We may not be able to protect our rights to our trademarks and trade names, which we need to build name recognition among potential collaborators or customers in our markets of interest. Any of the foregoing events may have a material adverse effect on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Furthermore, in many countries, owning and maintaining a trademark registration may not provide an adequate defense against a subsequent infringement allegation asserted by the owner of a senior trademark.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proprietary rights related to trademarks, trade names, domain names or other intellectual property may be ineffective and could result in substantial costs and diversion of resources and could adversely impact our financial condition or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Trademark rights are territorial, and it is possible that we will not seek or successfully obtain trademark rights in certain jurisdictions that are relevant markets for the business, impeding our ability to compete effectively and adversely affecting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Intellectual property rights do not necessarily address all potential threats.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degree of future protection afforded by our intellectual property rights is uncertain because intellectual property rights have limitations and may not adequately protect our business or permit it to maintain our competitive advantage. For example: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product candidates, if approved, may eventually become commercially available in generic or biosimilar product forms;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others may be able to make similar molecules to our product candidates that are not covered by the claims of the patents that we license or own now or in the future;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or current or future licensors or collaborators, might not have been the first to file patent applications covering certain of our or their inventions, potentially resulting in the invalidation of such patents or refusal of such applications;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or current or future licensors or collaborators, might not have been the first to make the inventions covered by the issued patent or pending patent application that we may license or own now or in the future.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or current or future licensors or collaborators, may fail to meet our obligations to the United States government regarding any patents and patent applications funded by United States government grants, leading to the loss or unenforceability of patent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others may independently develop similar or alternative technologies or duplicate any of our technologies without infringing on our owned or licensed intellectual property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it is possible that our pending patent applications or those that we may own or license in the future will not lead to issued patents;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it is possible that there are prior public disclosures that could invalidate our patents;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it is possible that there are unpublished patent applications that may later issue with claims covering our product candidates or technology similar to ours;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or result in a change in ownership;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issued patents to which we hold rights may be held invalid, unenforceable or narrowed in scope, including as a result of legal challenges;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claims of our issued patents or patent applications, if and when issued, may not cover our product candidates or narrowly cover them in such a way that competitors may be able to design around to avoid infringement allegations;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laws of foreign countries may not protect our proprietary rights or the proprietary rights of current or future licensors or collaborators to the same extent as the laws of the United States;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inventors of our patents or patent applications may become involved with competitors, develop products or processes that are similar to or alternative to those claimed in our patent filings or become hostile to our patents or patent applications on which they are named as inventors;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competitors might conduct research and development activities in countries where we do not have patent rights and then use the information learned from such activities to develop competitive products for sale in our major commercial markets;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32">
                <wp:simplePos x="0" y="0"/>
                <wp:positionH relativeFrom="column">
                  <wp:align>left</wp:align>
                </wp:positionH>
                <wp:positionV relativeFrom="line">
                  <wp:posOffset>635</wp:posOffset>
                </wp:positionV>
                <wp:extent cx="254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engaged in scientific collaborations in the past and we intend to continue to do so in the future, and our collaborators may develop adjacent or competing products that are outside the scope of our patents;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not develop additional proprietary technologies that are patentable;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product candidates we develop may be covered by third party patents or other intellectual property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patents of others may prohibit or otherwise harm our ability to conduct our business;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choose not to file a patent in order to maintain certain know-how, and a third party may subsequently commercialize the technology and/or file a patent covering such intellectual property.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Should any of these events occur, they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Our Business Operations, Employee Matters and Industry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future success depends on our ability to retain employees, consultants and advisors and to attract, retain and motivate qualified personnel.</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compete in the highly competitive biotechnology industry depends upon our ability to attract and retain highly qualified managerial, scientific, technical and medical personnel. We are highly dependent upon members of our management, as well as technology and scientific teams, many of whom have been instrumental for us and have substantial experience with developing therapies, identifying potential product candidates and building the technologies related to the development of our City Platform and our pipeline. Each of the members of our management team, and all of our employees, including key technical personnel, scientists and clinicians, are employed “at will,” meaning we (or each officer or employee) may terminate the employment relationship at any time. The loss of any of these persons’ services may adversely impact the achievement of our research, development, financing and commercialization objectives. We currently do not have “key person” insurance on any of our employees. Many of our employees, including members of our executive team, have been with us for several years, and have stock options or other long-term equity incentives which may become valuable and will be publicly tradable if we become a public company. We may not be able to retain these employees due to the competitive environment in the biotechnology industry, particularly in the greater Boston, Massachusetts region.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we rely on consultants, contractors and advisors, including scientific and clinical advisors, to assist us in formulating our research and development, regulatory approval and commercialization strategy. We also rely on third-party consultants and contractors to support our internal finance, accounting and control function.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added capability and capacity through the use of contractors. We may not be able to retain the services of such personnel, which might result in delays in the operation of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Recruiting and retaining other qualified employees, consultants and advisors for our business, including scientific and technical personnel, also will be critical to our success. Competition for skilled personnel, including in research, clinical operations, regulatory affairs, therapeutic area management and manufacturing, is intense and the turnover rate can be high. We may not be able to attract and retain personnel on favorable terms given the competition among numerous biotechnology companies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academic institutions for individuals with similar skill sets. In addition, adverse publicity, failure to succeed in preclinical or clinical trials or applications for marketing approval may make it more challenging to recruit and retain qualified personnel. The inability to recruit, or loss of services of certain executives, employees, consultants or advisors, may impede the progress of our research, development and commercialization objectives and have a material adverse impact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expect to expand our organization, and as a result, we may encounter difficulties in managing our growth, which could disrupt our operations.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we advance our research and development programs, we may need to further increase the number of our employees and the scope of our operations, particularly in the areas of clinical development, biology, chemistry, manufacturing, general and administrative matters related to being a public company, regulatory affairs and, if any of our product candidates receives marketing approval, sales, marketing and distribution. To manage our anticipated future growth, we must: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expand our general and administrative functions;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identify, recruit, integrate, maintain and motivate additional qualified personnel;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manage our development efforts effectively, including the initiation and conduct of clinical trials for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establish and build a marketing and commercial organization;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254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improve our operational, financial and management controls, reporting systems and procedures.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employees, principal investigators and consultants may engage in misconduct or other improper activities, including non-compliance with regulatory standards and requirements and insider trading.</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are exposed to the risk of fraud or other misconduct by our employees, principal investigators and consultants. Misconduct by these parties could include intentional failures to comply with FDA regulations or the regulations applicable in the EU and other jurisdictions, provide accurate information to Regulatory Authorities, comply with healthcare fraud and abuse laws and regulations in the United States and abroad, report financial information or data accurately or disclose unauthorized activities to us. Such misconduct also could involve the improper use of information obtained in the course of clinical trials or interactions with Regulatory Authorities, which could result in regulatory sanctions and cause serious harm to our reputation.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actions could have a significant impact on our business, financial condition, results of operations and prospects, including the imposition of significant fines or other sanctions.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Clinical trial and product liability lawsuits against us could divert our resources and could cause us to incur substantial liabilities and to limit commercialization of any products that we may develop.</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face an inherent risk of clinical trial and product liability exposure related to the testing of our product candidates in clinical trials, and we will face an even greater risk if we commercially sell any products that we develop, if approved.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decreased demand for any product candidates or products that we may develop;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termination of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injury to our reputation and significant negative media attention;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withdrawal of clinical trial participants;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significant costs to defend any related litigation;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substantial monetary awards to trial participants or patients;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254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loss of revenue;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9">
                <wp:simplePos x="0" y="0"/>
                <wp:positionH relativeFrom="column">
                  <wp:align>left</wp:align>
                </wp:positionH>
                <wp:positionV relativeFrom="line">
                  <wp:align>top</wp:align>
                </wp:positionV>
                <wp:extent cx="254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reduced resources of our management to pursue our business strategy;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50">
                <wp:simplePos x="0" y="0"/>
                <wp:positionH relativeFrom="column">
                  <wp:align>left</wp:align>
                </wp:positionH>
                <wp:positionV relativeFrom="line">
                  <wp:align>top</wp:align>
                </wp:positionV>
                <wp:extent cx="254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inability to commercialize any products that we may develop.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51">
                <wp:simplePos x="0" y="0"/>
                <wp:positionH relativeFrom="column">
                  <wp:align>left</wp:align>
                </wp:positionH>
                <wp:positionV relativeFrom="line">
                  <wp:align>top</wp:align>
                </wp:positionV>
                <wp:extent cx="254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Although we currently hold clinical trial liability insurance, we will need to maintain such insurance coverage as we expand our clinical trials or if we commence commercialization of our product candidates. Insurance coverage is increasingly expensive. We may not be able to obtain and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the estimates we make, or the assumptions on which we rely, in preparing our consolidated financial statements prove inaccurate, our actual results may vary from those reflected in our accruals.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consolidated financial statements have been prepared in accordance with generally accepted accounting principles in the United States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Changes in United States and international trade policies, particularly with respect to China, may adversely impact our business and operating results.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United States government has recently made statements and taken certain actions that may lead to potential changes to United States and international trade policies, including imposing several rounds of tariffs and export control and sanctions restrictions affecting certain products manufactured in China. Both China and the United States have each imposed tariffs indicating the potential for further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trade barriers, including the United States Commerce Department adding numerous Chinese entities to its Unverified List, which requires United States exporters to go through more procedures before exporting goods to such entities. It is unknown whether and to what extent new tariffs, export controls, or other new laws or regulations will be adopted, or the effect that any such actions would have on us or our industry. For example, in December 2025, the NDAA for Fiscal Year 2026 was enacted, which includes Section 851, commonly referred to as the “BIOSECURE Act.” The BIOSECURE Act restricts United States government agencies from procuring certain biotechnology equipment or services from, or entering into contracts with, entities that use biotechnology equipment or services from designated BCCs and from expending certain federal loan or grant funds for such equipment or services. While the BIOSECURE Act is primarily directed at United States government procurement and funding and has not yet been fully implemented through final regulations, there remains a continued policy interest in limiting United States companies’ relationships with biotechnology providers with relationships with foreign adversaries. The potential downstream adverse impacts on entities having only commercial relationships with any impacted biotechnology providers is unknown but may include supply chain disruptions or delays. Sustained uncertainty about or further escalating trade and political tensions between the United States and China may prevent or hinder the export of materials or technical information among us, our CDMOs and other relevant third parties, such as pharmaceutical partners, or could result in trade or retaliatory restrictions that may hinder or potentially inhibit our ability to rely on CDMOs and other service providers that operate in China. Further, regulatory or legislative action taken by the United States to impose restrictions on transactions with China, like the restrictions described above, could have the potential to severely restrict the ability of companies like ours to contract with Chinese BCCs, which could have adverse effects on the development of our product candidates and our business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unfavorable government policies on international trade, such as export controls, economic sanctions, capital controls or tariffs, may increase the cost of manufacturing our product candidates and platform materials, affect our ability to commercialize our product candidates, if approved, and adversely affect the import or export of raw materials and product candidates used in our research, preclinical studies and clinical trials, particularly to the extent we rely on third-party suppliers, manufacturers or other service providers located in China. If any new tariffs, export controls, sanctions, legislation or regulations are implemented, or if existing trade agreements are renegotiated or, in particular, if either the United States or Chinese government takes retaliatory trade actions due to recent trade tensions, such changes could have an adverse effect on our business, financial condition and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Ownership of Our Common Stock and This Offering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There has been no prior public market for our common stock, and an active trading market for our common stock may not develop.</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this offering, there was no public trading market for our common stock. If a market for our common stock does not develop or is not sustained, it may be difficult for you to sell your shares of our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 An inactive market may also impair our ability to raise capital by selling our common stock and our ability to acquire other companies, products, or technologies by using our common stock as consideration.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price of our common stock may be volatile and fluctuate substantially, which could result in substantial losses for purchasers of our common stock in this offering.</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stock price is likely to be volatile. The stock market in general, and the market for biotechnology companies in particular, has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 the commencement, enrollment, completion or results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preclinical and clinical trials of our product candidates or those of our competitors; the success of competitive products or technologies; commencement or termination of partnership, collaboration and licensing arrangements; regulatory or legal developments in the United States and other countries; developments or disputes concerning patent applications, issued patents or other proprietary rights; significant lawsuits, including patent or stockholder litigation; the recruitment or departure of key personnel; the level of expenses related to any of our product candidates or clinical development programs; the results of our efforts to discover, develop, acquire or in-license additional product candidates; actual or anticipated changes in estimates as to financial results, development timelines or recommendations by securities analysts; variations in our financial results or those of companies that are perceived to be similar to us; changes in the structure of healthcare payment systems; market conditions in the biotechnology and high-tech sectors, including high interest rates and borrowing costs; general economic, industry and market conditions; and the numerous product candidates in our pipeline, the development of which could each generate news or significant AEs that could impact financial results or recommendations by securities analysts.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our quarterly or annual results fall below the expectations of investors or securities analysts, the price of our common stock could decline substantially. Furthermore, any quarterly or annual fluctuations in our results may, in turn, cause the price of our stock to fluctuate substantially. We believe that period-to-period comparisons of our results are not necessarily meaningful and should not be relied upon as an indication of our future performance.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past, following periods of volatility in the market price of a company’s securities, securities class-action litigation often has been instituted against that company. Such litigation, if instituted against us, could cause us to incur substantial costs to defend such allegations and divert management’s attention and resources, which could seriously harm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not be able to satisfy listing requirements of The Nasdaq Global Market (“Nasdaq”) or obtain or maintain a listing of our common stock on Nasdaq.</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after listing, we fail to satisfy Nasdaq’s continued listing requirements,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financial condition and operating results have varied in the past and will continue to fluctuate from quarter-to-quarter and year-to-year in the future due to a variety of factors, many of which are beyond our control and may be difficult to predict,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and cost of, and level of investment in our City Platform and our research, development and, if approved, commercialization activities relating to our product candidates, which may change from time to time;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254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and status of enrollment for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254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 of manufacturing our product candidates, as well as building out our supply chain, which may vary depending on the quantity of production and the terms of our agreements with manufacturers;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254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expenditures that we may incur to acquire, develop or commercialize additional product candidates and technologies;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55">
                <wp:simplePos x="0" y="0"/>
                <wp:positionH relativeFrom="column">
                  <wp:align>left</wp:align>
                </wp:positionH>
                <wp:positionV relativeFrom="line">
                  <wp:posOffset>635</wp:posOffset>
                </wp:positionV>
                <wp:extent cx="254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timing and amount of any milestone, royalty or other payments due under any current or future collaboration, license, or acquisition agreement;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56">
                <wp:simplePos x="0" y="0"/>
                <wp:positionH relativeFrom="column">
                  <wp:align>left</wp:align>
                </wp:positionH>
                <wp:positionV relativeFrom="line">
                  <wp:align>top</wp:align>
                </wp:positionV>
                <wp:extent cx="254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future accounting pronouncements or changes in our accounting policies;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254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and success or failure of preclinical studies and clinical trials for our product candidates or competing product candidates, or any other change in the competitive landscape of our industry, including consolidation among our competitors or partners;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58">
                <wp:simplePos x="0" y="0"/>
                <wp:positionH relativeFrom="column">
                  <wp:align>left</wp:align>
                </wp:positionH>
                <wp:positionV relativeFrom="line">
                  <wp:align>top</wp:align>
                </wp:positionV>
                <wp:extent cx="254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of receipt of approvals for our product candidates from Regulatory Authorities in the United States and internationally;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59">
                <wp:simplePos x="0" y="0"/>
                <wp:positionH relativeFrom="column">
                  <wp:align>left</wp:align>
                </wp:positionH>
                <wp:positionV relativeFrom="line">
                  <wp:align>top</wp:align>
                </wp:positionV>
                <wp:extent cx="254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exchange rate and interest rate fluctuations;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coverage and reimbursement policies with respect to our product candidates, if approved, and potential future drugs that compete with our products;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61">
                <wp:simplePos x="0" y="0"/>
                <wp:positionH relativeFrom="column">
                  <wp:align>left</wp:align>
                </wp:positionH>
                <wp:positionV relativeFrom="line">
                  <wp:align>top</wp:align>
                </wp:positionV>
                <wp:extent cx="254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level of demand for our product candidates, if approved, which may vary significantly over time.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Future sales of our common stock in the public market could cause our stock price to fall.</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stock price could decline as a result of sales of a large number of shares of our common stock after this offering or the perception that these sales could occur. These sales, or the possibility that these sales may occur, also might make it more difficult for us to sell equity securities in the future at a time and at a price that we deem appropriate.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this offering,             shares of our common stock will be outstanding (or shares of common stock will be outstanding assuming exercise in full of the underwriters’ option to purchase additional shares), based on our shares outstanding as of June 30, 2026. All shares of our common stock expected to be sold in this offering will be freely tradable without restriction or further registration under the Securities Act of 1933, as amended (the “Securities Act”), unless held by our “affiliates,” as that term is defined in Rule 144 under the Securities Act. The resale of the remaining             shares, or      % of our outstanding shares after this offering, is currently prohibited or otherwise restricted, subject to certain limited exceptions as described in the section titled “</w:t>
      </w:r>
      <w:r>
        <w:rPr>
          <w:rFonts w:ascii="Helvetica;Arial;sans-serif" w:hAnsi="Helvetica;Arial;sans-serif"/>
          <w:b w:val="false"/>
          <w:i/>
          <w:caps w:val="false"/>
          <w:smallCaps w:val="false"/>
          <w:color w:val="000000"/>
          <w:spacing w:val="-2"/>
          <w:sz w:val="20"/>
        </w:rPr>
        <w:t>Underwriting</w:t>
      </w:r>
      <w:r>
        <w:rPr>
          <w:rFonts w:ascii="Helvetica;Arial;sans-serif" w:hAnsi="Helvetica;Arial;sans-serif"/>
          <w:b w:val="false"/>
          <w:i w:val="false"/>
          <w:caps w:val="false"/>
          <w:smallCaps w:val="false"/>
          <w:color w:val="000000"/>
          <w:spacing w:val="-2"/>
          <w:sz w:val="20"/>
        </w:rPr>
        <w:t xml:space="preserve">,” as a result of securities law provisions, market standoff agreements entered into by our stockholders with us or lock-up agreements entered into by our stockholders with the underwriters. However, subject to applicable securities law restrictions and excluding shares of our restricted stock that will remain unvested, these shares will be able to be sold in the public market beginning 180 days after the date of this prospectus. Shares of our unvested restricted stock subject to repurchase or forfeiture that were issued and outstanding as of the date of this prospectus will become available for sale immediately upon the vesting of such shares, as applicable, and the expiration of any applicable market stand-off or lock-up agreements. Shares issued upon the exercise of stock options pursuant to future awards that may be granted under our equity incentive plans or pursuant to future awards granted under those plans will become available for sale in the public market to the extent permitted by the provisions of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vesting schedules, any applicable market stand-off and lock-up agreements and Rule 144 and Rule 701 under the Securities Act. For more information see the section titled “</w:t>
      </w:r>
      <w:r>
        <w:rPr>
          <w:rFonts w:ascii="Helvetica;Arial;sans-serif" w:hAnsi="Helvetica;Arial;sans-serif"/>
          <w:b w:val="false"/>
          <w:i/>
          <w:caps w:val="false"/>
          <w:smallCaps w:val="false"/>
          <w:color w:val="000000"/>
          <w:spacing w:val="-2"/>
          <w:sz w:val="20"/>
        </w:rPr>
        <w:t>Shares Eligible for Future Sale</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this offering, the holders of approximately            shares, or     %, of our common stock, will have rights, subject to some conditions, to require us to file registration statements covering the sale of their shares or to include their shares in registration statements that we may file for ourselves or other stockholders. We also intend to register the offer and sale of all shares of our common stock that we may issue under our equity compensation plans. Once we register the offer and sale of shares for the holders of registration rights and shares to be issued under our equity incentive plans, they can be freely sold in the public market upon issuance, subject to the lock-up agreements described in the section titled “</w:t>
      </w:r>
      <w:r>
        <w:rPr>
          <w:rFonts w:ascii="Helvetica;Arial;sans-serif" w:hAnsi="Helvetica;Arial;sans-serif"/>
          <w:b w:val="false"/>
          <w:i/>
          <w:caps w:val="false"/>
          <w:smallCaps w:val="false"/>
          <w:color w:val="000000"/>
          <w:spacing w:val="-2"/>
          <w:sz w:val="20"/>
        </w:rPr>
        <w:t>Underwriting</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certain of our executive officers, directors and stockholders affiliated with our directors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Our executive officers, directors and stockholders affiliated with our directors also may buy or sell shares outside of a Rule 10b5-1 plan when they are not in possession of material, nonpublic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future, we may also issue additional shares of our common stock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you purchase our common stock in this offering, you will incur immediate and substantial dilution in the book value of your shares.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You will suffer immediate and substantial dilution in the pro forma as adjusted net tangible book value of our common stock if you purchase in this offering. Assuming an initial public offering price of $       per share, the midpoint of the price range set forth on the cover page of this prospectus, after giving effect to this offering, purchasers of common stock in this offering will experience immediate dilution of $          per share in pro forma as adjusted net tangible book value of our common shares. In addition, after giving effect to this offering, investors purchasing common stock in this offering will contribute       % of the total amount invested by stockholders since inception but will only own       % of the common stock outstanding. In the past, we issued options and other securities to acquire common stock at prices significantly below the initial public offering price. To the extent these outstanding securities are ultimately exercised, investors purchasing common stock in this offering will sustain further dilution. See the section titled “</w:t>
      </w:r>
      <w:r>
        <w:rPr>
          <w:rFonts w:ascii="Helvetica;Arial;sans-serif" w:hAnsi="Helvetica;Arial;sans-serif"/>
          <w:b w:val="false"/>
          <w:i/>
          <w:caps w:val="false"/>
          <w:smallCaps w:val="false"/>
          <w:color w:val="000000"/>
          <w:spacing w:val="-2"/>
          <w:sz w:val="20"/>
        </w:rPr>
        <w:t>Dilution</w:t>
      </w:r>
      <w:r>
        <w:rPr>
          <w:rFonts w:ascii="Helvetica;Arial;sans-serif" w:hAnsi="Helvetica;Arial;sans-serif"/>
          <w:b w:val="false"/>
          <w:i w:val="false"/>
          <w:caps w:val="false"/>
          <w:smallCaps w:val="false"/>
          <w:color w:val="000000"/>
          <w:spacing w:val="-2"/>
          <w:sz w:val="20"/>
        </w:rPr>
        <w:t>” appearing elsewhere in this prospectus for a more detailed description of the dilution to new investors in the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Raising additional capital may cause dilution to our existing stockholders, restrict our operations or require us to relinquish rights to our technologies or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seek additional capital through public or private equity or debt financings, government or other third-party grants, asset sales, royalty financings, partnership, collaboration and licensing arrangements, or a combination of these approaches. To the extent that we raise additional capital through the sale of stock or convertible or exchangeable debt securities, warrants or other similar equity securities, your ownership interest could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collaborations and alliances and licensing arrangements with third parties or through asset sales, we may have to relinquish valuable rights to our technologies or product candidates or grant licenses on terms unfavorable to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securities analysts do not publish research or reports about our business or if they publish negative evaluations of our stock, the price of our stock could decline.</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may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principal stockholders and management own a significant percentage of our stock and will be able to exert significant control over matters subject to stockholder approval.</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executive officers, directors, five percent stockholders and their affiliates beneficially own approximately       % of our common stock and, upon closing of this offering, that same group will beneficially own approximately       % of our outstanding common stock (assuming no exercise of the underwriters’ option to purchase additional shares and no exercise of outstanding options and without giving effect to (i) any potential purchases by such persons in this offering or (ii) issuance of options to be granted to certain of our employees and non-employee directors upon pricing of this offering). Therefore, even after this offering, these stockholders will have the ability to influence us through their ownership positions. For example, these stockholders,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Participation in this offering by our existing stockholders and their affiliated entities may reduce the public float for our common stock.</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broad discretion in the use of our cash and cash equivalents, including the net proceeds from this offering, and may not use these proceeds effectively, affecting our results of operations and causing a decline in our stock price.</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management will have broad discretion in the application of our cash and cash equivalents, including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impact on our business, cause the price of our common stock to decline, and delay the development of our product candidates. Pending their use, we may invest our cash and cash equivalents, including the net proceeds from this offering, in a manner that does not produce income or that loses value. See the section titled “</w:t>
      </w:r>
      <w:r>
        <w:rPr>
          <w:rFonts w:ascii="Helvetica;Arial;sans-serif" w:hAnsi="Helvetica;Arial;sans-serif"/>
          <w:b w:val="false"/>
          <w:i/>
          <w:caps w:val="false"/>
          <w:smallCaps w:val="false"/>
          <w:color w:val="000000"/>
          <w:spacing w:val="-2"/>
          <w:sz w:val="20"/>
        </w:rPr>
        <w:t>Use of Proceeds</w:t>
      </w:r>
      <w:r>
        <w:rPr>
          <w:rFonts w:ascii="Helvetica;Arial;sans-serif" w:hAnsi="Helvetica;Arial;sans-serif"/>
          <w:b w:val="false"/>
          <w:i w:val="false"/>
          <w:caps w:val="false"/>
          <w:smallCaps w:val="false"/>
          <w:color w:val="000000"/>
          <w:spacing w:val="-2"/>
          <w:sz w:val="20"/>
        </w:rPr>
        <w:t>” appearing elsewhere in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Provisions in our amended and restated certificate of incorporation, which will become effective immediately prior to the closing of this offering, and amended and restated bylaws, which will become effective upon the effectiveness of the registration statement of which this prospectus forms a part,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which will become effective immediately prior to the closing of this offering, and amended and restated bylaws, which will become effective upon the effectiveness of the registration statement of which this prospectus forms a part,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amended and restated bylaws include provisions that: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authorize “blank check” preferred stock, which could be issued by our board of directors without stockholder approval and may contain voting, liquidation, dividend and other rights superior to our common stock;</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create a classified board of directors whose members serve staggered three-year terms;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specify that special meetings of our stockholders can be called only by our board of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prohibit stockholder action by written consent;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establish an advance notice procedure for stockholder approvals to be brought before an annual meeting of our stockholders, including proposed nominations of persons for election to our board of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provide that vacancies on our board of directors may be filled only by a majority of directors then in office, even though less than a quorum;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provide that our directors may be removed only for cause;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254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specify that no stockholder is permitted to cumulate votes at any election of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expressly authorize our board of directors to make, alter, amend or repeal our amended and restated bylaws;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require supermajority votes of the holders of our common stock to amend specified provisions of our amended and restated certificate of incorporation and amended and restated bylaws.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because we are incorporated in the State of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Because we do not anticipate paying any cash dividends on our capital stock in the foreseeable future, capital appreciation, if any, will be your sole source of gain.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do not currently intend to declare or pay cash dividends on our capital stock. We currently intend to retain all of our future earnings, if any, to finance the growth and development of our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terms of any future debt agreements may preclude us from paying dividends. As a result, capital appreciation, if any, of our common stock will be your sole source of gain for the foreseeable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amended and restated bylaws which will become effective upon the effectiveness of this registration statement of which this prospectus forms a part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bylaws which will become effective upon effectiveness of the registration statement of which this prospectus forms a part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our amended and restated certificate of incorporation or our amended and restated bylaws (including the interpretation, validity or enforceability thereof) or (iv) any action asserting a claim that is governed by the internal affairs doctrine (Delaware Forum Provision). The Delaware Forum Provision will not apply to any causes of action arising under the Securities Act or the Exchange Act of 1934, as amended (the “Exchange Act”). Our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General Risk Factors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will incur increased costs as a result of operating as a public company, and our management will be required to devote substantial time to new compliance initiatives. We will be subject to financial reporting and other requirements for which our accounting and other management systems and resources may not be adequately prepared.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As a public company, and particularly after we are no longer an “emerging growth company,” we will incur significant legal, accounting and other expenses that we did not incur as a private company. In addition, the federal securities laws, including the Sarbanes-Oxley Act and rules subsequently implemented by the SEC and Nasdaq have imposed various requirements on public companies, including requirements to file annual, quarterly and event driven reports with respect to our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and financial condition, and to establish and maintain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may not be able to produce reliable financial statements or file these financial statements as part of a periodic report in a timely manner with the SEC or comply with the Nasdaq listing requirements. In addition, we could make errors in our financial statements that could require us to restate our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an “emerging growth company,” and the reduced disclosure requirements applicable to emerging growth companies may make our common stock less attractive to investors.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an “emerging growth company” ​(“EGC”), as defined in the JOBS Act. We will remain an EGC until the earlier of: (i) the last day of the fiscal year in which we have total annual gross revenues of $1.235 billion or more; (ii) the last day of the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For so long as we remain an EGC,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shareholder approval of any golden parachute payments not previously approved.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will not be subject to new or revised accounting standards at the same time that they become applicable to other public companies that are not EGCs.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fail to establish and maintain proper and effective internal control over financial reporting, our operating results and our ability to operate our business could be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controls and procedures for compliance with Section 404 of the Sarbanes-Oxley Act, which will require annual management assessment of the effectiveness of our internal control over financial reporting starting with our second filing of an Annual Report on Form 10-K.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disclosure controls and procedures may not prevent or detect all errors or acts of fraud.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future ability to utilize our NOL carryforwards and certain other tax attributes may be limited.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our inception, we have incurred losses and we may never achieve profitability. As of December 31, 2025, we had United States federal net operating loss (“NOL”) carryforwards of $47.1 million (which generally are not subject to expiration), state NOL carryforwards of $49.2 million (which begin to expire in various amounts in 2045), United States federal research credit carryforwards of $2.0 million (which expire at various dates through 2045), and state research credit carryforwards of $1.2 million (which expire at various dates through 2040). Our unused United States federal NOLs may be carried forward to offset a portion of future taxable income, if any, but the deductibility of such United States federal NOL carryforwards in a taxable year is limited to 80% of taxable income in such year.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Internal Revenue Code of 1986, as amended (the “Code”), if a corporation undergoes an “ownership change,” generally defined as one or more shareholders or groups of shareholders that own at least five percent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have resulted in such ownership changes in the past. In addition, we may experience ownership changes in the future as a result of this offering or subsequent shifts in our stock ownership, some of which are outside of our control. As a result, if we earn net taxable income, our ability to use our pre-change NOLs or other pre-change tax attributes to offset United States federal taxable income or taxes may be subject to limitations, which could potentially result in increased future tax liability to us.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For these reasons, we may not be able to realize a tax benefit from the use of our NOLs or tax credits, even if we attain profitability.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Changes in tax laws or in their implementation or interpretation may adversely affect our business and financial condition.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rules dealing with United States federal, state and local income taxation are constantly under review by persons involved in the legislative process and by the Internal Revenue Service, the United States Treasury Department and other taxing authorities. Changes to tax laws (which changes may have retroactive application) could adversely affect our business and our financial condition. In recent years, many such changes have been made and changes are likely to continue to occur in the future.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our information technology systems or our infrastructure or those of third parties with whom we work, or our data, are or were compromised, we could experience adverse consequences resulting from such compromise that negatively impact our business and operations and subject us to liability.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and data related to our clinical trials (collectively, sensitive information). As a result, the confidentiality, integrity, and availability of our information technology systems and sensitive information, and those of the third parties with whom we work, are vulnerable to compromise or damage from a variety of threats, including cybersecurity attacks, malicious internet-based activity, online and offline fraud, and other similar activities.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experienced significant growth in the complexity of our data and the software tools that our hardware infrastructure supports. As a result, we rely significantly upon information technology systems and infrastructure owned and maintained by us or by third-party providers to process our sensitive information and to operate our business. We also outsource elements of our operations to, and obtain products and services from, third parties and engage in collaborations for drug design with third parties, each of which has or could have access to our sensitive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deploy and operate an array of technical and procedural controls designed to reduce the risks to our information technology systems, infrastructure and sensitive information and to maintain the availability, confidentiality and integrity of our sensitive information, and we expect to continue to incur significant costs related to such detection and prevention efforts. While we continue to make investments to detect, mitigate, contain, and remediate vulnerabilities in our information technology systems, including through hiring qualified information technology personnel, conducting periodic cyber security awareness trainings, improving our information technology infrastructure and related controls, performing systematic back-ups of our data and systems, and conducting regular testing of our systems, there can be no assurance that our efforts will be effective.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Despite these efforts,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ransomware attacks, supply-chain attacks, software bugs, server malfunctions, software or hardware failures, loss of data or other information technology assets, adware, telecommunications failures, earthquakes, fires, floods, attacks enhanced or facilitated by artificial intelligence (“AI”), and other similar threats.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 respect to cyber-attacks, 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These risks may be heightened in connection with geopolitical events or in conjunction with military conflicts and defense activities. During times of war and other major conflicts, we, the third parties with whom we work, may be vulnerable to a heightened risk of these attacks, including retaliatory cyber-attacks, that could materially disrupt our systems and operations, supply chain, and ability to produce and distribute our goods and services.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to detect, investigate, mitigate, contain and remediate actual and suspected cybersecurity breaches and incidents could be significant. We may not be able to anticipate all types of security threats and implement preventive measures effective against all such threats. In addition, remote work has increased risks to our information technology systems and data, as our employees utilize network connections, computers and devices outside our premises or network, including working at home, while in transit and in public locations.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Cybersecurity threats and other disruptions, including the unauthorized, unlawful or accidental acquisition, modification, destruction, loss, alteration, encryption, disclosure of, or access to, our sensitive information or our information technology systems, or those of the third parties with whom we work, have become increasingly prevalent across industries, including the biotechnology industry, and may affect us in the future. From time to time, we have experienced cybersecurity events common to companies in our industry, such as phishing attempts, none of which has resulted in a material cybersecurity incident to date. However, there can be no assurance that we will not experience a material cybersecurity incident or other disruption in the future.</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despite our efforts to identify and address vulnerabilities in our information technology systems and infrastructure, we may not detect or remediate all vulnerabilities, including on a timely basis. We may also experience delays in developing and deploying remedial measures, security updates and patches designed to address identified vulnerabilities. Any such vulnerabilities could be exploited by threat actors and result in cybersecurity incidents or other disruptions.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loss, corruption, unavailability of or damage to our data would interfere with and undermine the insights we draw from our City Platform and could impair the integrity of our clinical trial data, leading to potential regulatory delays or the inability to get our product candidates approved. If we do not accurately predict and identify our infrastructure requirements and failures and timely enhance our infrastructure, or if our remediation efforts are not successful, it could result in a material disruption of our business operations and development programs, including the loss or unauthorized disclosure of our sensitive information. A security breach or incident that leads to unauthorized acquisition, disclosure or other processing of our sensitive information could also affect our intellectual property rights and enable competitors to compete with us more effectively.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Likewise, as we work with third parties such as CROs, CDMOs, contractors and consultants, including for the manufacture of our product candidates and for the conduct of our clinical trials, similar events relating to their systems and operations could also have a material adverse effect on our business and lead to potential regulatory agency actions. Our ability to monitor these third parties’ information security practices is limited, and these third parties may not have adequate information security measures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place. For example, the loss of clinical trial data from completed, ongoing or future clinical trials could result in delays in or denials of our regulatory approval efforts and significantly increase our costs to recover or reproduce the data. Any security compromise affecting us, our collaborators or our industry, whether real or perceived, could harm our reputation, erode confidence in the effectiveness of our security measures, and lead to regulatory scrutiny. To the extent that any disruption or security breach were to result in a loss of, or damage to, our sensitive information or systems, or inappropriate disclosure of sensitive information, we could incur liability, our competitive position could be harmed, and the further development and commercialization of our product candidates could be delayed, result in substantial costs and distract management.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Applicable data privacy and security obligations may require us, or we may voluntarily choose, to notify relevant stakeholders, including affected individuals, customers, regulators, and investors, of security incidents, or to take other actions. Such disclosures and related actions can be costly, and the disclosure or the failure to comply with such applicable requirements could lead to adverse consequences.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(or a third party with whom we work) experience failures, disruptions, security breaches and incidents, cyber-attacks we may experience material adverse consequences, such as government, enforcement measures, regulatory agency investigations, proceedings and other actions, penalties, fines, indemnification obligations, litigation (including class claims), negative publicity, monetary fund diversions, diversion of management attention, interruptions in our operations (including availability of data), financial loss, potential civil or criminal liability, collaborators’ loss of confidence, damage to our reputation and other consequences, which could materially adversely affect our business and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contracts may not afford us limitations of liability, and even where they do, there can be no assurance that limitations of liability in our contracts are sufficient to protect us from liabilities, damages, or claims related to our data privacy and security obligations. Relatedly, our contracts with third parties with whom we work may limit the types and/or amounts of damages that we can recover from those third parties, even where the third party is responsible for a privacy or cybersecurity incident or violation. While we maintain insurance coverage for certain expenses and liabilities related to failures or breaches of our information technology systems, it may not be adequate or sufficient to cover all losses associated with such events. In addition, such insurance may not be available to us in the future on commercially reasonable terms or at all. Furthermore, if the information technology systems of third parties with whom we work become subject to disruptions or security breaches or incidents, we may have insufficient recourse against them.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ours, our customers, or clinical trial participants could be leaked, disclosed, or revealed as a result of or in connection with our employees’, personnel’s, or vendors’ use of generative AI technologies.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Issues relating to our current and planned use of AI in the identification of our programs and the engineering and development of our product candidates could adversely affect our business and operating results.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currently incorporate certain AI solutions, among other technologies and capabilities, into our City Platform in a limited capacity, and we plan to expand our use of AI in our research and development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activities in the future. There are risks involved in utilizing AI,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If any AI systems we use or develop fail to achieve their intended purposes — such as assisting in the identification of viable product candidates or targets, predicting biological outcomes, or producing reproducible results — our product development efforts may be delayed or unsuccessful. If we are unable to successfully integrate and manage AI within our business as we expand our use of such technologies, or if AI fails to deliver the expected benefits, our ability to develop our programs and product candidates could be materially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Issues relating to the use of new and evolving technologies such as AI may cause us to experience brand or reputational harm, competitive harm, legal liability and new or enhanced governmental or regulatory scrutiny, and we may incur additional costs to resolve such issues. Known risks of AI generally include inaccuracy, hallucinations, bias, intellectual property infringement or misappropriation, data privacy and cybersecurity issues and data provenance disputes. Perceived or actual technical, legal, compliance, privacy, security, ethical or other issues relating to the use of AI in biopharmaceutical development may cause public confidence in AI to be undermined, which could slow market acceptance of product candidates discovered or developed with the assistance of AI. In addition, litigation or government regulation related to the use of AI may adversely impact our ability to identify programs and engineer and develop product candidates using AI, as well as increase the cost and complexity of doing so. For example, regulators may limit our ability to develop or implement AI models and algorithms and/or may eliminate or restrict the confidentiality of our proprietary technology, or may limit our ability to secure intellectual property rights to technologies created with the assistance of AI, which could have an adverse effect on our business, results of operations and financial condition.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face competition from other companies that use AI and related methods for drug engineering and development, some of which have more resources than we do and may have developed more effective methods than we and any third-party collaborators have, which may reduce our and any third-party collaborators’ effectiveness in identifying potential product candidates and attracting additional collaborators to work with us. In particular, biotechnology companies based in China present both known and emerging competitive threats to our business. Many of these companies operate within innovation ecosystems characterized by substantial government investment, access to large and rapidly expanding biological and clinical datasets, and accelerated regulatory or funding pathways. These factors may allow Chinese biotechnology companies to develop, train and deploy advanced computational models, drug discovery platforms or biologic design technologies more rapidly or at lower cost than we can. If our competitors are able to utilize new technologies more effectively (including but not limited to those that may involve AI or be created using AI) to discover, develop and commercialize products that compete with any of our programs and product candidates, such technologies could adversely impact our ability to compete.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AI may have or produce errors or inadequacies that are not easily detectable. The quality of AI outputs depends heavily on the quality and quantity of input data. If the data used to train AI or the content, analyses or recommendations that AI applications assist in producing are or are alleged to be deficient, inaccurate, incomplete, hallucinatory, overbroad or biased, our business, financial condition and results of operations may be adversely affected. Developing, testing and deploying AI systems may also increase the cost profile of our operations due to the nature of the computing costs involved in such systems, which could adversely affect our business and operating results.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legal landscape and legal protection for the use of AI remains uncertain, and the use of AI in drug discovery and development introduces evolving risks related to ownership, inventorship and protection of intellectual property generated by or with the assistance of AI technologies. For example, generative AI may be used improperly or inappropriately, which could lead to the tainting of our proprietary information and render us unable to qualify for certain patent or trade secret protection. Moreover, if our vendors, employees, suppliers or contractors with access to our proprietary and confidential information and know-how were to disclose such information as inputs to third-party AI tools, this could lead to loss of trade secret protection and otherwise impact our ability to realize the benefit of our intellectual property. If we do not have sufficient rights to collect or use the data on which any AI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utilize relies or to the outputs produced by our City Platform, we may incur liability through the alleged violation of certain laws, third-party privacy rights, online terms of service or other contracts to which we or our data providers are a party. In addition, we rely on third-party software and hardware for our City Platform. If the relevant software or hardware, or updates to such software or hardware, were to become unavailable to us in the future on reasonable commercial terms, or if they became the subject of allegations of intellectual property infringement, our ability to continue to use our City Platform could be affected. Regulatory and legal frameworks governing inventions created with or using AI are still developing and may create uncertainty regarding our ability to secure and enforce rights in such inventions.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AI presents risks and challenges that can impact our business including regulatory, compliance, reputational, and competitive risks arising from our use of AI tools and evolving legal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Issues in the development and use of AI, combined with an uncertain regulatory environment, may result in reputational harm, liability or other adverse consequences to our business operations. As with many technological innovations, AI presents risks and challenges that could impact our business. As part of our City Platform, we use proprietary AI/ML capabilities to support the design and optimization of RNAi trigger molecules, and we may continue to expand our use of AI/ML and other computational tools in our research and development activities. Our vendors may also incorporate AI technologies into their products and services, including without specifically identifying the use of such technologies to us, and the providers of these AI technologies may not meet existing or evolving regulatory or industry standards with respect to data privacy, security or other legal requirements.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growing number of federal, state, and international legislators, agencies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EU’s Artificial Intelligence Act (“AI Act”) may apply to us. This legislation imposes significant obligations on providers and deployers of AI systems and encourages providers and deployers of artificial intelligence systems to account for EU ethical principles in their development and use of these systems. In addition, various federal regulators have issued guidance and focused enforcement efforts on the use of AI in regulated sectors. The FDA, for example, issued draft guidance on the use of AI in regulatory decision-making for drug and biological products, which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would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We expect other jurisdictions will adopt similar laws. Uncertainty in the legal regulatory regime may require significant resources to modify and maintain business practices to comply with United States and non-United States laws, the nature of which cannot be determined at this time. Non-compliance or perceived non-compliance may lead to significant fines or significant restrictions on our ability to conduct our business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and the third parties with whom we work are subject to a variety of stringent and evolving United States and foreign laws, regulations and rules, contractual obligations, industry standards, policies and other obligations related to data privacy and security. Any actual or perceived failure to comply with such obligations could expose us to regulatory investigations or actions, litigation (including class claims) and mass arbitration demands, significant fines or other penalties, disruptions of our business operations, reputational harm, loss of revenue or profits, loss of customers or sales, and other adverse business consequences.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ordinary course of our business, we and the third parties with whom we work process sensitive information. Our data processing activities subject us to numerous, evolving data privacy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security obligations, such as various laws, regulations, guidance, industry standards, external and internal privacy and security policies, contractual requirements and other obligations relating to data privacy and security.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legislative and regulatory framework for the processing of sensitive information worldwide is rapidly evolving in a manner that is increasingly stringent and, globally, this legal and regulatory framework is likely to remain uncertain for the foreseeable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United States, numerous federal, state and local laws and regulations, including federal health information privacy laws, state information security and data breach notification laws, federal consumer protection laws (</w:t>
      </w:r>
      <w:r>
        <w:rPr>
          <w:rFonts w:ascii="Helvetica;Arial;sans-serif" w:hAnsi="Helvetica;Arial;sans-serif"/>
          <w:b w:val="false"/>
          <w:i/>
          <w:caps w:val="false"/>
          <w:smallCaps w:val="false"/>
          <w:color w:val="000000"/>
          <w:spacing w:val="-2"/>
          <w:sz w:val="20"/>
        </w:rPr>
        <w:t>e.g.</w:t>
      </w:r>
      <w:r>
        <w:rPr>
          <w:rFonts w:ascii="Helvetica;Arial;sans-serif" w:hAnsi="Helvetica;Arial;sans-serif"/>
          <w:b w:val="false"/>
          <w:i w:val="false"/>
          <w:caps w:val="false"/>
          <w:smallCaps w:val="false"/>
          <w:color w:val="000000"/>
          <w:spacing w:val="-2"/>
          <w:sz w:val="20"/>
        </w:rPr>
        <w:t>, Section 5 of the Federal Trade Commission Act), state consumer protection and privacy laws and other similar laws (</w:t>
      </w:r>
      <w:r>
        <w:rPr>
          <w:rFonts w:ascii="Helvetica;Arial;sans-serif" w:hAnsi="Helvetica;Arial;sans-serif"/>
          <w:b w:val="false"/>
          <w:i/>
          <w:caps w:val="false"/>
          <w:smallCaps w:val="false"/>
          <w:color w:val="000000"/>
          <w:spacing w:val="-2"/>
          <w:sz w:val="20"/>
        </w:rPr>
        <w:t>e.g.</w:t>
      </w:r>
      <w:r>
        <w:rPr>
          <w:rFonts w:ascii="Helvetica;Arial;sans-serif" w:hAnsi="Helvetica;Arial;sans-serif"/>
          <w:b w:val="false"/>
          <w:i w:val="false"/>
          <w:caps w:val="false"/>
          <w:smallCaps w:val="false"/>
          <w:color w:val="000000"/>
          <w:spacing w:val="-2"/>
          <w:sz w:val="20"/>
        </w:rPr>
        <w:t>, wiretapping and communications interception laws) govern the processing of health-related and other sensitive information. For example, HIPAA, as amended by the Health Information Technology for Economic and Clinical Health Act, imposes specific requirements relating to the privacy, security, and transmission of individually identifiable protected health information 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 parties with whom we work.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Regulators and legislators in the United States are increasingly scrutinizing and restricting certain personal data transfers and transactions involving foreign countries. For example, the United States Department of Justice issued a rule entitled the Preventing Access to United States Sensitive Personal Data and Government-Related Data by Countries of Concern or Covered Persons, which places additional restriction on certain data transactions involving (e.g., China, Russia, Iran) and covered persons (e.g., individuals who are designated as such by the United States Attorney General or considered “foreign persona” and are majority owned by, organized under the laws of, a primary resident in, or a contractor of, a covered person or country of concerns, as applicable) that may impact certain business activities such as vendor engagements, sale or sharing of data, employment of certain individuals, and investor agreements. Violations of the rule could lead to significant civil and criminal fines and penalties. The rule does not exempt key-coded or otherwise anonymized, pseudonymized, de-identified or encrypted data, which presents particular challenges for companies like ours and may impact our ability to engage in transactions or agreements with certain third parties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Outside the United States, an increasing number of laws, regulations and industry standards may govern data privacy and security. For example, the European Union’s General Data Protection Regulation (“EU GDPR”), the United Kingdom’s General Data Protection Regulation (“UK GDPR” and, together with the EU GDPR, “GDPR”) impose strict requirements for processing personal data including relating to processing of sensitive information (such as health data). Under GDPR, companies may face temporary or definitive bans on data processing and other corrective activities, fines of up to €20 million under the EU GDPR (£17.5 million GBP under the UK GDPR) or, in each case, 4% of annual global revenues, whichever is greater, and private litigation related to processing of personal data brought by classes of data subjects or consumer protection organizations authorized at law to represent their interests.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employees and personnel use generative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ordinary course of business, we transfer personal data from Europe and other jurisdictions to the United States or other countries. However,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EU-United States Data Privacy Framework (“Framework”) and the UK extension thereto (which allows for transfers to relevant United States-based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other countries),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in the EEA, the NIS 2 Directive (“NIS 2”) regulates resilience and incident response capabilities of entities operating in a number of sectors, including the health sector. To the extent we are subject to NIS 2, we will require additional investment of our resources in compliance programs. Under NIS 2 companies may be subject to administrative fines of up to the higher amount of €10 million or 2% of worldwide turnover.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Obligations related to data privacy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with whom we work.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at times fail (or be perceived to have failed) in our efforts to comply with our data privacy and security obligations. Moreover, despite our efforts, our personnel or third parties with whom we work, including CROs supporting our clinical trials, clinical trial sites with whom we have contracted and other third parties supporting our clinical trials,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w:t>
      </w:r>
      <w:r>
        <w:rPr>
          <w:rFonts w:ascii="Helvetica;Arial;sans-serif" w:hAnsi="Helvetica;Arial;sans-serif"/>
          <w:b w:val="false"/>
          <w:i/>
          <w:caps w:val="false"/>
          <w:smallCaps w:val="false"/>
          <w:color w:val="000000"/>
          <w:spacing w:val="-2"/>
          <w:sz w:val="20"/>
        </w:rPr>
        <w:t>e.g.</w:t>
      </w:r>
      <w:r>
        <w:rPr>
          <w:rFonts w:ascii="Helvetica;Arial;sans-serif" w:hAnsi="Helvetica;Arial;sans-serif"/>
          <w:b w:val="false"/>
          <w:i w:val="false"/>
          <w:caps w:val="false"/>
          <w:smallCaps w:val="false"/>
          <w:color w:val="000000"/>
          <w:spacing w:val="-2"/>
          <w:sz w:val="20"/>
        </w:rPr>
        <w:t xml:space="preserve">, investigations, fines, penalties, audits, inspections and similar); litigation (including class-action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financial condition, results of operations and prospects,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pacing w:val="-2"/>
          <w:sz w:val="20"/>
        </w:rPr>
      </w:pPr>
      <w:r>
        <w:rPr>
          <w:rFonts w:ascii="Helvetica;Arial;sans-serif" w:hAnsi="Helvetica;Arial;sans-serif"/>
          <w:b/>
          <w:i/>
          <w:caps w:val="false"/>
          <w:smallCaps w:val="false"/>
          <w:color w:val="000000"/>
          <w:spacing w:val="-2"/>
          <w:sz w:val="20"/>
        </w:rPr>
        <w:t xml:space="preserve">Our business could be affected by litigation, government investigations and enforcement actions.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currently operate and plan to operate in a highly regulated industry and we could now or in the future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allegations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and cause reputational harm.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Employee litigation and unfavorable publicity could negatively affect our future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employees may, from time to time, bring lawsuits against us regarding injury, creating a hostile workplace, discrimination, wage and hour disputes, sexual harassment or other employment issues. In recent years, there has been an increase in the number of discrimination and harassment allegations generally. Coupled with the expansion of social media platforms and similar devices that allow individuals access to a broad audience, these allegations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allegations, our business could be negatively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Unfavorable United States or global economic conditions could adversely affect our business, financial condition or results of operations.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results of operations could be adversely affected by general conditions in the global economy and financial markets. The global economy and financial markets have experienced extreme volatility and disruptions, including severely diminished liquidity and credit availability, declines in consumer confidence, rising inflation, uncertainty from changes in tariff policies, fluctuating interest rates, declines in economic growth, global supply chain disruptions and uncertainty about economic stability. The global economy and financial markets may also be adversely affected by the current or anticipated impact of military conflict, terrorism or other geopolitical events, including the ongoing war in Ukraine, the Israel-Gaza conflict and the increasingly strained relationship between the United States and China. Sanctions imposed by the United States and other countries in response to such conflicts may adversely impact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financial markets and the global economy, and the economic countermeasures by the affected countries or others could exacerbate market and economic instability.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or products we may develop and our ability to raise additional capital when needed on acceptable terms, if at all. A weak or declining economy could also strain our suppliers, possibly resulting in supply disruption. If the equity and credit markets deteriorate, it may make any necessary equity or debt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CDMOs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 decline in the federal budget, changes in spending or budgetary priorities of the United States government, a prolonged United States government shutdown or delays in contract awards may significantly and adversely affect our future revenues, cash flow and financial results.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recent years, United States government appropriations have been affected by larger United States government budgetary issues and related legislation. As a result, the Department of Defense funding levels have fluctuated and have been difficult to predict. Future spending levels are subject to a wide range of factors, including Congressional action. In addition, in the past, United States debt ceiling and budget deficit concerns have increased the possibility of additional credit-rating downgrades and economic slowdowns, or a recession in the United States. Although United States lawmakers passed legislation to raise the federal debt ceiling on multiple occasions, ratings agencies have lowered or threatened to lower the long-term sovereign credit rating on the United States The impact of this or any further downgrades to the United States government’s sovereign credit rating or its perceived creditworthiness could adversely affect the United States and global financial markets and economic conditions.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a result, government spending levels are difficult to predict beyond the near term due to numerous factors, including the external threat environment, future government priorities and the state of government finances. Significant changes in government spending or changes in United States government priorities, policies and requirements could have a material adverse effect on our results of operations, financial condition or liquidity.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delayed access to deposits or other financial assets or the uninsured loss of deposits or other financial assets;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potential or actual breach of statutory, regulatory or contractual obligations, including obligations that require us to maintain letters of credit or other credit support arrangements;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termination of cash management arrangements and/or delays in accessing or actual loss of funds subject to cash management arrangements.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our current and/or planned business operations, and our current or projected financial condition and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collaborator or supplier bankruptcy or insolvency, or the failure of any customer or collaborator to make payments when due, or any breach or default by a customer, collaborator or supplier, or the loss of any significant supplier or collaborator relationships, could result in material losses to the Company and may have a material adverse impact on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increasing use of social media platforms presents risks and challenges.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 candidates, operations, or business may cause us to be found in violation of applicable legal or contractual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collaboration partners, and others, and which could have an adverse effect on our business, financial conditions and results of operations. Furthermore, negative posts or comments about us or our product candidates in social media could seriously damage our reputation, brand image and goodwill.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our product candidates under an expanded access policy, our reputation may be negatively affected and our business may be harmed.</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CN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CAUTIONARY NOTE REGARDING FORWARD-LOOKING STATEMENTS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prospectus, including the sections entitled “</w:t>
      </w:r>
      <w:r>
        <w:rPr>
          <w:rFonts w:ascii="Helvetica;Arial;sans-serif" w:hAnsi="Helvetica;Arial;sans-serif"/>
          <w:b w:val="false"/>
          <w:i/>
          <w:caps w:val="false"/>
          <w:smallCaps w:val="false"/>
          <w:color w:val="000000"/>
          <w:spacing w:val="-2"/>
          <w:sz w:val="20"/>
        </w:rPr>
        <w:t>Prospectus Summary</w:t>
      </w:r>
      <w:r>
        <w:rPr>
          <w:rFonts w:ascii="Helvetica;Arial;sans-serif" w:hAnsi="Helvetica;Arial;sans-serif"/>
          <w:b w:val="false"/>
          <w:i w:val="false"/>
          <w:caps w:val="false"/>
          <w:smallCaps w:val="false"/>
          <w:color w:val="000000"/>
          <w:spacing w:val="-2"/>
          <w:sz w:val="20"/>
        </w:rPr>
        <w:t>,”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 “</w:t>
      </w:r>
      <w:r>
        <w:rPr>
          <w:rFonts w:ascii="Helvetica;Arial;sans-serif" w:hAnsi="Helvetica;Arial;sans-serif"/>
          <w:b w:val="false"/>
          <w:i/>
          <w:caps w:val="false"/>
          <w:smallCaps w:val="false"/>
          <w:color w:val="000000"/>
          <w:spacing w:val="-2"/>
          <w:sz w:val="20"/>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rPr>
        <w:t>,” and “</w:t>
      </w:r>
      <w:r>
        <w:rPr>
          <w:rFonts w:ascii="Helvetica;Arial;sans-serif" w:hAnsi="Helvetica;Arial;sans-serif"/>
          <w:b w:val="false"/>
          <w:i/>
          <w:caps w:val="false"/>
          <w:smallCaps w:val="false"/>
          <w:color w:val="000000"/>
          <w:spacing w:val="-2"/>
          <w:sz w:val="20"/>
        </w:rPr>
        <w:t>Business</w:t>
      </w:r>
      <w:r>
        <w:rPr>
          <w:rFonts w:ascii="Helvetica;Arial;sans-serif" w:hAnsi="Helvetica;Arial;sans-serif"/>
          <w:b w:val="false"/>
          <w:i w:val="false"/>
          <w:caps w:val="false"/>
          <w:smallCaps w:val="false"/>
          <w:color w:val="000000"/>
          <w:spacing w:val="-2"/>
          <w:sz w:val="20"/>
        </w:rPr>
        <w:t>,”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advance our product candidates through preclinical and clinical development, including continuing the Phase 1 clinical trial for CITY-FXI and advancing other programs through preclinical and clinical development;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initiation, timing, progress and results of our research and development programs, preclinical studies and clinical trials for our current or future product candidates and effectiveness of our City Platform;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ability of clinical trials to demonstrate safety and efficacy of our product candidates, and other positive results, and the ability of our preclinical studies and earlier clinical trials to predict later clinical trial results;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scope and likelihood of regulatory filings and approvals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implementation of our business model, and strategic plans for our business, programs, and current and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obtain additional cash and the sufficiency of our existing cash and cash equivalents to fund our future operating expenses and capital expenditure requirements;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1">
                <wp:simplePos x="0" y="0"/>
                <wp:positionH relativeFrom="column">
                  <wp:align>left</wp:align>
                </wp:positionH>
                <wp:positionV relativeFrom="line">
                  <wp:align>top</wp:align>
                </wp:positionV>
                <wp:extent cx="254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accuracy of our estimates regarding expenses, future revenue, capital requirements and needs for additional financing;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2">
                <wp:simplePos x="0" y="0"/>
                <wp:positionH relativeFrom="column">
                  <wp:align>left</wp:align>
                </wp:positionH>
                <wp:positionV relativeFrom="line">
                  <wp:align>top</wp:align>
                </wp:positionV>
                <wp:extent cx="254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size and growth potential of the markets for our product candidates, and our ability to serve those markets;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potential and ability to successfully manufacture and supply our current and future product candidates for clinical trials and for commercial use, if approved;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leverage programs within our initial target indications and to progress additional programs to further develop our pipeline;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254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scope of protection we are able to establish and maintain for intellectual property rights covering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254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developments relating to our competitors and our industry, including competing product candidates and RNAi therapeutics;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254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developments related to our proprietary City Platform;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254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existing regulations and regulatory developments in the United States and other jurisdictions;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254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obtain funding for our operations necessary to complete further development and commercialization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254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expectations regarding future events under collaboration and licensing agreements, including potential future payments, as well as our plans and strategies for entering into further collaboration and licensing agreements;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254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 economic, industry and market conditions, including fluctuating interest rates and inflationary pressures;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92">
                <wp:simplePos x="0" y="0"/>
                <wp:positionH relativeFrom="column">
                  <wp:align>left</wp:align>
                </wp:positionH>
                <wp:positionV relativeFrom="line">
                  <wp:align>top</wp:align>
                </wp:positionV>
                <wp:extent cx="254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32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attract and retain key scientific and management personnel;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93">
                <wp:simplePos x="0" y="0"/>
                <wp:positionH relativeFrom="column">
                  <wp:align>left</wp:align>
                </wp:positionH>
                <wp:positionV relativeFrom="line">
                  <wp:posOffset>635</wp:posOffset>
                </wp:positionV>
                <wp:extent cx="254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expectations regarding the period during which we will qualify as an emerging growth company under the JOBS Act;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94">
                <wp:simplePos x="0" y="0"/>
                <wp:positionH relativeFrom="column">
                  <wp:align>left</wp:align>
                </wp:positionH>
                <wp:positionV relativeFrom="line">
                  <wp:align>top</wp:align>
                </wp:positionV>
                <wp:extent cx="254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anticipated use of our existing cash and cash equivalents and the proceeds from this offering.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95">
                <wp:simplePos x="0" y="0"/>
                <wp:positionH relativeFrom="column">
                  <wp:align>left</wp:align>
                </wp:positionH>
                <wp:positionV relativeFrom="line">
                  <wp:align>top</wp:align>
                </wp:positionV>
                <wp:extent cx="254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forward-looking statements in this prospectus represent our views as of the date of this prospectus. We anticipate that subsequent events and developments will cause our views to change.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Except as required by applicable law, we do not plan to publicly update or revise any forward-looking statements contained herein until after we distribute this prospectus, whether as a result of any new information, future events or otherwise. You should therefore not rely on these forward-looking statements as representing our views as of any date subsequent to the date of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This prospectus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prospectus, and we believe that these sources are reliable; however, we have not independently verified the information contained in such publications.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UO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USE OF PROCEEDS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estimate that our net proceeds from the sale of       shares of our common stock in this offering will be approximately $       million (or approximately $       million if the underwriters exercise their option to purchase additional shares of our common stock in full), assuming an initial public offering price of $       per share, the midpoint of the estimated offering price range set forth on the cover page of this prospectus, and after deducting underwriting discounts and commissions and estimated offering expenses payable by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$1.00 increase (decrease) in the assumed initial public offering price of $       per share, the midpoint of the estimated offering price range set forth on the cover page of this prospectus, would increase (decrease) our net proceeds from this offering by $       million, assuming the number of shares offered by us, as set forth on the cover page of this prospectus, remains the same and after deducting underwriting discounts and commissions and estimated offering expenses payable by us. A 1.0 million share increase (decrease) in the number of shares offered by us, as set forth on the cover page of this prospectus, would increase (decrease) our net proceeds from this offering by $       million, assuming no change in the assumed initial public offering price per share and after deducting underwriting discounts and commissions and estimated offering expenses payable by us. The information discussed above is illustrative only and will adjust based on the actual initial public offering price and other terms of this offering determined at pricing.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principal purposes of this offering are to create a public market for our common stock and thereby facilitate future access to the public equity markets, increase our visibility in the marketplace and obtain additional capital. We currently intend to use the net proceeds from this offering, together with our existing cash and cash equivalents, as follows: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approximately $       million to fund the clinical development of CITY-FXI, including our ongoing Phase 1 clinical trial, a Phase 2 TKA study, and preparations for subsequent clinical development for the treatment of thrombosis;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6">
                <wp:simplePos x="0" y="0"/>
                <wp:positionH relativeFrom="column">
                  <wp:align>left</wp:align>
                </wp:positionH>
                <wp:positionV relativeFrom="line">
                  <wp:align>top</wp:align>
                </wp:positionV>
                <wp:extent cx="254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approximately $       million to fund the clinical development of CITY-RBP4, including our Phase 1 clinical trial and preparations for later-stage clinical development for the treatment of Stargardt disease and GA;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7">
                <wp:simplePos x="0" y="0"/>
                <wp:positionH relativeFrom="column">
                  <wp:align>left</wp:align>
                </wp:positionH>
                <wp:positionV relativeFrom="line">
                  <wp:align>top</wp:align>
                </wp:positionV>
                <wp:extent cx="254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approximately $       million to fund the clinical development of CITY-TFR2, including an IIT in China for the treatment of anemia in myelofibrosis patients, and the Phase 1 clinical trial for the treatment of anemia of chronic disease;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8">
                <wp:simplePos x="0" y="0"/>
                <wp:positionH relativeFrom="column">
                  <wp:align>left</wp:align>
                </wp:positionH>
                <wp:positionV relativeFrom="line">
                  <wp:align>top</wp:align>
                </wp:positionV>
                <wp:extent cx="254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approximately $       million to advance our City Platform, including continued investment to advance cityRNA triggers (CITY-O02 and CITY-C02) to the pipeline, as well as additional preclinical product candidates toward IND submission and clinical development;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99">
                <wp:simplePos x="0" y="0"/>
                <wp:positionH relativeFrom="column">
                  <wp:align>left</wp:align>
                </wp:positionH>
                <wp:positionV relativeFrom="line">
                  <wp:align>top</wp:align>
                </wp:positionV>
                <wp:extent cx="254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remainder to support additional research and development efforts for new programs and product candidates, as well as for working capital and other general corporate purposes.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00">
                <wp:simplePos x="0" y="0"/>
                <wp:positionH relativeFrom="column">
                  <wp:align>left</wp:align>
                </wp:positionH>
                <wp:positionV relativeFrom="line">
                  <wp:align>top</wp:align>
                </wp:positionV>
                <wp:extent cx="254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and we expect that we will require additional funds in order to fully accomplish the specified uses of the proceeds of this offering. We may also use a portion of the net proceeds to in-license, acquire or invest in complementary businesses or technologies to continue to build our pipeline, research and development capabilities and our intellectual property position, although we currently have no agreements, commitments or understandings with respect to any such transaction.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Due to the many inherent uncertainties in the development of our programs and product candidates, the amounts and timing of our actual expenditures may vary significantly depending on numerous factors, including the progress of our research and development, timing of patient enrollment and evolving regulatory requirements, the timing and success of preclinical studies, our ongoing or future clinical trials, the timing of regulatory submissions, any strategic alliances that we may enter into with third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12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or strategic opportunities that become available to us, and other factors described in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 in this prospectus, as well as the amount of cash used in our operations and any unforeseen cash needs.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based on our current operating plan, that the net proceeds from this offering, together with our existing cash and cash equivalents, will be sufficient to fund our operations through       . We have based this estimate on our current assumptions, which may prove to be wrong, and we may exhaust our available capital resources sooner than we expect.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management will retain broad discretion in the application of the net proceeds we receive from our initial public offering, and investors will be relying on the judgment of our management regarding the application of the net proceeds. Pending our use of the net proceeds from this offering, we intend to invest the net proceeds in a variety of capital preservation instruments, including short-term and long-term interest-bearing instruments, investment-grade securities, and direct or guaranteed obligations of the United States government. We cannot predict whether the proceeds invested will yield a favorable return.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DIP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008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DIVIDEND POLICY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never declared or paid cash dividends on our capital stock. We currently intend to retain all available funds and any future earnings to fund the growth and development of our business. We do not intend to declare or pay cash dividends to our stockholders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our ability to pay cash dividends on our capital stock in the future may be limited by the terms of any future debt or preferred securities we issue or any credit facilities we enter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A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CAPITALIZATION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our cash, cash equivalents, and restricted cash and total capitalization as of June 30,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an actual basis;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01">
                <wp:simplePos x="0" y="0"/>
                <wp:positionH relativeFrom="column">
                  <wp:align>left</wp:align>
                </wp:positionH>
                <wp:positionV relativeFrom="line">
                  <wp:align>top</wp:align>
                </wp:positionV>
                <wp:extent cx="254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 pro forma basis, giving effect to (i) the automatic conversion of all outstanding shares of convertible preferred stock into an aggregate of        shares of common stock immediately prior to the completion of this offering, (ii) the automatic conversion of the outstanding principal and accrued interest under the Biogen Note into an aggregate of        shares of our common stock immediately prior to the completion of this offering, at a conversion price equal to 85% of the assumed initial public offering price of $       per share, the midpoint of the estimated offering price range listed on the cover page of this prospectus, and (iii) the filing and effectiveness of our amended and restated certificate of incorporation, which will occur immediately prior to the completion of this offering;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302">
                <wp:simplePos x="0" y="0"/>
                <wp:positionH relativeFrom="column">
                  <wp:align>left</wp:align>
                </wp:positionH>
                <wp:positionV relativeFrom="line">
                  <wp:align>top</wp:align>
                </wp:positionV>
                <wp:extent cx="254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 pro forma as adjusted basis, giving effect to (i) the pro forma adjustments set forth above and (ii) the issuance and sale of        shares of common stock in this offering at the assumed initial public offering price of $       per share, the midpoint of the estimated offering price range listed on the cover page of this prospectus, after deducting underwriting discounts and commissions and estimated offering expenses payable by us.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303">
                <wp:simplePos x="0" y="0"/>
                <wp:positionH relativeFrom="column">
                  <wp:align>left</wp:align>
                </wp:positionH>
                <wp:positionV relativeFrom="line">
                  <wp:align>top</wp:align>
                </wp:positionV>
                <wp:extent cx="254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pro forma as adjusted information below is illustrative only, and our capitalization following the completion of this offering will be adjusted based on the actual initial public offering price and other terms of this offering determined at pricing.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should be read together with “</w:t>
      </w:r>
      <w:r>
        <w:rPr>
          <w:rFonts w:ascii="Helvetica;Arial;sans-serif" w:hAnsi="Helvetica;Arial;sans-serif"/>
          <w:b w:val="false"/>
          <w:i/>
          <w:caps w:val="false"/>
          <w:smallCaps w:val="false"/>
          <w:color w:val="000000"/>
          <w:spacing w:val="-2"/>
          <w:sz w:val="20"/>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rPr>
        <w:t>” “</w:t>
      </w:r>
      <w:r>
        <w:rPr>
          <w:rFonts w:ascii="Helvetica;Arial;sans-serif" w:hAnsi="Helvetica;Arial;sans-serif"/>
          <w:b w:val="false"/>
          <w:i/>
          <w:caps w:val="false"/>
          <w:smallCaps w:val="false"/>
          <w:color w:val="000000"/>
          <w:spacing w:val="-2"/>
          <w:sz w:val="20"/>
        </w:rPr>
        <w:t>Description of Capital Stock</w:t>
      </w:r>
      <w:r>
        <w:rPr>
          <w:rFonts w:ascii="Helvetica;Arial;sans-serif" w:hAnsi="Helvetica;Arial;sans-serif"/>
          <w:b w:val="false"/>
          <w:i w:val="false"/>
          <w:caps w:val="false"/>
          <w:smallCaps w:val="false"/>
          <w:color w:val="000000"/>
          <w:spacing w:val="-2"/>
          <w:sz w:val="20"/>
        </w:rPr>
        <w:t>,” and the consolidated financial statements and related notes appearing elsewhere in this prospectus.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95"/>
        <w:gridCol w:w="109"/>
        <w:gridCol w:w="109"/>
        <w:gridCol w:w="109"/>
        <w:gridCol w:w="226"/>
        <w:gridCol w:w="349"/>
        <w:gridCol w:w="109"/>
        <w:gridCol w:w="109"/>
        <w:gridCol w:w="109"/>
        <w:gridCol w:w="111"/>
        <w:gridCol w:w="232"/>
        <w:gridCol w:w="356"/>
        <w:gridCol w:w="111"/>
        <w:gridCol w:w="109"/>
        <w:gridCol w:w="109"/>
        <w:gridCol w:w="119"/>
        <w:gridCol w:w="248"/>
        <w:gridCol w:w="614"/>
        <w:gridCol w:w="119"/>
        <w:gridCol w:w="160"/>
      </w:tblGrid>
      <w:tr>
        <w:trPr/>
        <w:tc>
          <w:tcPr>
            <w:tcW w:w="52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39" w:type="dxa"/>
            <w:gridSpan w:val="16"/>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As of June 30, 2026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295" w:type="dxa"/>
            <w:tcBorders>
              <w:bottom w:val="single" w:sz="2" w:space="0" w:color="000000"/>
            </w:tcBorders>
            <w:tcMar>
              <w:bottom w:w="42" w:type="dxa"/>
            </w:tcMar>
            <w:vAlign w:val="center"/>
          </w:tcPr>
          <w:p>
            <w:pPr>
              <w:pStyle w:val="TableContents"/>
              <w:bidi w:val="0"/>
              <w:spacing w:before="0" w:after="0"/>
              <w:jc w:val="left"/>
              <w:rPr>
                <w:spacing w:val="-2"/>
              </w:rPr>
            </w:pPr>
            <w:r>
              <w:rPr>
                <w:spacing w:val="-2"/>
              </w:rPr>
              <w:t xml:space="preserve">(in thousands, except share and per share data)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3" w:type="dxa"/>
            <w:gridSpan w:val="4"/>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10" w:type="dxa"/>
            <w:gridSpan w:val="4"/>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Pro Forma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0" w:type="dxa"/>
            <w:gridSpan w:val="4"/>
            <w:tcBorders>
              <w:bottom w:val="single" w:sz="2" w:space="0" w:color="000000"/>
            </w:tcBorders>
            <w:tcMar>
              <w:bottom w:w="42" w:type="dxa"/>
            </w:tcMar>
            <w:vAlign w:val="center"/>
          </w:tcPr>
          <w:p>
            <w:pPr>
              <w:pStyle w:val="TableContents"/>
              <w:bidi w:val="0"/>
              <w:spacing w:lineRule="atLeast" w:line="142" w:before="0" w:after="0"/>
              <w:jc w:val="center"/>
              <w:rPr/>
            </w:pPr>
            <w:r>
              <w:rPr>
                <w:spacing w:val="-2"/>
              </w:rPr>
              <w:t>Pro Forma As</w:t>
            </w:r>
            <w:r>
              <w:rPr/>
              <w:t xml:space="preserve"> </w:t>
              <w:br/>
            </w:r>
            <w:r>
              <w:rPr>
                <w:spacing w:val="-2"/>
              </w:rPr>
              <w:t>Adjusted</w:t>
            </w:r>
            <w:r>
              <w:rPr>
                <w:spacing w:val="-2"/>
                <w:sz w:val="13"/>
              </w:rPr>
              <w:t>(1)</w:t>
            </w:r>
            <w:r>
              <w:rPr/>
              <w:t xml:space="preserv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jc w:val="left"/>
              <w:rPr>
                <w:spacing w:val="-2"/>
              </w:rPr>
            </w:pPr>
            <w:r>
              <w:rPr>
                <w:spacing w:val="-2"/>
              </w:rPr>
              <w:t xml:space="preserve">Cash, cash equivalents, and 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349"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35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14"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1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0"/>
              <w:jc w:val="left"/>
              <w:rPr>
                <w:spacing w:val="-2"/>
              </w:rPr>
            </w:pPr>
            <w:r>
              <w:rPr>
                <w:spacing w:val="-2"/>
              </w:rPr>
              <w:t xml:space="preserve">Convertible notes, net (including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356" w:type="dxa"/>
            <w:tcBorders/>
            <w:tcMar>
              <w:bottom w:w="0" w:type="dxa"/>
            </w:tcMar>
            <w:vAlign w:val="center"/>
          </w:tcPr>
          <w:p>
            <w:pPr>
              <w:pStyle w:val="TableContents"/>
              <w:bidi w:val="0"/>
              <w:spacing w:before="0" w:after="283"/>
              <w:jc w:val="left"/>
              <w:rPr>
                <w:sz w:val="4"/>
                <w:szCs w:val="4"/>
              </w:rPr>
            </w:pPr>
            <w:r>
              <w:rPr>
                <w:sz w:val="4"/>
                <w:szCs w:val="4"/>
              </w:rPr>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ind w:left="200" w:right="0" w:hanging="200"/>
              <w:jc w:val="left"/>
              <w:rPr/>
            </w:pPr>
            <w:r>
              <w:rPr>
                <w:spacing w:val="-2"/>
              </w:rPr>
              <w:t xml:space="preserve">Convertible preferred stock (Series Seed and Series A and B), </w:t>
            </w:r>
            <w:r>
              <w:rPr/>
              <w:br/>
            </w:r>
            <w:r>
              <w:rPr>
                <w:spacing w:val="-2"/>
              </w:rPr>
              <w:t xml:space="preserve">par value $0.0001 per share;        shares authorized; </w:t>
            </w:r>
            <w:r>
              <w:rPr/>
              <w:br/>
            </w:r>
            <w:r>
              <w:rPr>
                <w:spacing w:val="-2"/>
              </w:rPr>
              <w:t xml:space="preserve">       issued and outstanding, actual; no shares authorized, </w:t>
            </w:r>
            <w:r>
              <w:rPr/>
              <w:br/>
            </w:r>
            <w:r>
              <w:rPr>
                <w:spacing w:val="-2"/>
              </w:rPr>
              <w:t xml:space="preserve">issued or outstanding, pro forma and pro forma 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35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283"/>
              <w:jc w:val="left"/>
              <w:rPr>
                <w:spacing w:val="-2"/>
              </w:rPr>
            </w:pPr>
            <w:r>
              <w:rPr>
                <w:spacing w:val="-2"/>
              </w:rPr>
              <w:t xml:space="preserve">Stockholders’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356"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Preferred stock, par value $0.0001 per share; no shares authorized, issued or outstanding, actual; and        shares authorized and no shares issued or outstanding, pro forma and pro forma 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356"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0"/>
              <w:ind w:left="400" w:right="0" w:hanging="200"/>
              <w:jc w:val="left"/>
              <w:rPr/>
            </w:pPr>
            <w:r>
              <w:rPr>
                <w:spacing w:val="-2"/>
              </w:rPr>
              <w:t xml:space="preserve">Common stock, par value $0.0001 per share;        shares </w:t>
            </w:r>
            <w:r>
              <w:rPr/>
              <w:br/>
            </w:r>
            <w:r>
              <w:rPr>
                <w:spacing w:val="-2"/>
              </w:rPr>
              <w:t xml:space="preserve">authorized,        shares issued and        shares </w:t>
            </w:r>
            <w:r>
              <w:rPr/>
              <w:br/>
            </w:r>
            <w:r>
              <w:rPr>
                <w:spacing w:val="-2"/>
              </w:rPr>
              <w:t xml:space="preserve">outstanding, actual;      shares authorized, </w:t>
            </w:r>
            <w:r>
              <w:rPr/>
              <w:br/>
            </w:r>
            <w:r>
              <w:rPr>
                <w:spacing w:val="-2"/>
              </w:rPr>
              <w:t xml:space="preserve">       shares issued and outstanding, pro forma; </w:t>
            </w:r>
            <w:r>
              <w:rPr/>
              <w:br/>
            </w:r>
            <w:r>
              <w:rPr>
                <w:spacing w:val="-2"/>
              </w:rPr>
              <w:t xml:space="preserve">       shares authorized,        shares issued and </w:t>
            </w:r>
            <w:r>
              <w:rPr/>
              <w:br/>
            </w:r>
            <w:r>
              <w:rPr>
                <w:spacing w:val="-2"/>
              </w:rPr>
              <w:t xml:space="preserve">outstanding, pro forma as adjusted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356"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295" w:type="dxa"/>
            <w:tcBorders/>
            <w:shd w:fill="CCEEFF" w:val="clear"/>
            <w:tcMar>
              <w:bottom w:w="0" w:type="dxa"/>
            </w:tcMar>
            <w:vAlign w:val="center"/>
          </w:tcPr>
          <w:p>
            <w:pPr>
              <w:pStyle w:val="TableContents"/>
              <w:bidi w:val="0"/>
              <w:spacing w:before="0" w:after="0"/>
              <w:jc w:val="left"/>
              <w:rPr>
                <w:spacing w:val="-2"/>
              </w:rPr>
            </w:pPr>
            <w:r>
              <w:rPr>
                <w:spacing w:val="-2"/>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356"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295"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Accumulated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349"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2" w:type="dxa"/>
            <w:tcBorders>
              <w:bottom w:val="single" w:sz="2" w:space="0" w:color="000000"/>
            </w:tcBorders>
            <w:tcMar>
              <w:bottom w:w="50" w:type="dxa"/>
            </w:tcMar>
            <w:vAlign w:val="center"/>
          </w:tcPr>
          <w:p>
            <w:pPr>
              <w:pStyle w:val="TableContents"/>
              <w:bidi w:val="0"/>
              <w:spacing w:before="0" w:after="283"/>
              <w:jc w:val="right"/>
              <w:rPr/>
            </w:pPr>
            <w:r>
              <w:rPr/>
              <w:t>​</w:t>
            </w:r>
          </w:p>
        </w:tc>
        <w:tc>
          <w:tcPr>
            <w:tcW w:w="356" w:type="dxa"/>
            <w:tcBorders>
              <w:bottom w:val="single" w:sz="2" w:space="0" w:color="000000"/>
            </w:tcBorders>
            <w:tcMar>
              <w:bottom w:w="50" w:type="dxa"/>
            </w:tcMar>
            <w:vAlign w:val="center"/>
          </w:tcPr>
          <w:p>
            <w:pPr>
              <w:pStyle w:val="TableContents"/>
              <w:bidi w:val="0"/>
              <w:spacing w:before="0" w:after="283"/>
              <w:jc w:val="righ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614" w:type="dxa"/>
            <w:tcBorders>
              <w:bottom w:val="single" w:sz="2" w:space="0" w:color="000000"/>
            </w:tcBorders>
            <w:tcMar>
              <w:bottom w:w="50" w:type="dxa"/>
            </w:tcMar>
            <w:vAlign w:val="center"/>
          </w:tcPr>
          <w:p>
            <w:pPr>
              <w:pStyle w:val="TableContents"/>
              <w:bidi w:val="0"/>
              <w:spacing w:before="0" w:after="283"/>
              <w:jc w:val="righ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295"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stockholders’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34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35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1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95" w:type="dxa"/>
            <w:tcBorders/>
            <w:tcMar>
              <w:bottom w:w="0" w:type="dxa"/>
            </w:tcMar>
            <w:vAlign w:val="center"/>
          </w:tcPr>
          <w:p>
            <w:pPr>
              <w:pStyle w:val="TableContents"/>
              <w:bidi w:val="0"/>
              <w:spacing w:before="0" w:after="0"/>
              <w:jc w:val="left"/>
              <w:rPr>
                <w:spacing w:val="-2"/>
              </w:rPr>
            </w:pPr>
            <w:r>
              <w:rPr>
                <w:spacing w:val="-2"/>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349" w:type="dxa"/>
            <w:tcBorders>
              <w:bottom w:val="double" w:sz="8" w:space="0" w:color="000000"/>
            </w:tcBorders>
            <w:tcMar>
              <w:bottom w:w="5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bottom w:val="double" w:sz="8" w:space="0" w:color="000000"/>
            </w:tcBorders>
            <w:tcMar>
              <w:bottom w:w="50" w:type="dxa"/>
            </w:tcMar>
            <w:vAlign w:val="center"/>
          </w:tcPr>
          <w:p>
            <w:pPr>
              <w:pStyle w:val="TableContents"/>
              <w:bidi w:val="0"/>
              <w:spacing w:before="0" w:after="283"/>
              <w:jc w:val="right"/>
              <w:rPr/>
            </w:pPr>
            <w:r>
              <w:rPr/>
              <w:t>$</w:t>
            </w:r>
          </w:p>
        </w:tc>
        <w:tc>
          <w:tcPr>
            <w:tcW w:w="356" w:type="dxa"/>
            <w:tcBorders>
              <w:bottom w:val="double" w:sz="8" w:space="0" w:color="000000"/>
            </w:tcBorders>
            <w:tcMar>
              <w:bottom w:w="50" w:type="dxa"/>
            </w:tcMar>
            <w:vAlign w:val="center"/>
          </w:tcPr>
          <w:p>
            <w:pPr>
              <w:pStyle w:val="TableContents"/>
              <w:bidi w:val="0"/>
              <w:spacing w:before="0" w:after="283"/>
              <w:jc w:val="left"/>
              <w:rPr>
                <w:sz w:val="4"/>
                <w:szCs w:val="4"/>
              </w:rPr>
            </w:pPr>
            <w:r>
              <w:rPr>
                <w:sz w:val="4"/>
                <w:szCs w:val="4"/>
              </w:rPr>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bottom w:val="double" w:sz="8" w:space="0" w:color="000000"/>
            </w:tcBorders>
            <w:tcMar>
              <w:bottom w:w="50" w:type="dxa"/>
            </w:tcMar>
            <w:vAlign w:val="center"/>
          </w:tcPr>
          <w:p>
            <w:pPr>
              <w:pStyle w:val="TableContents"/>
              <w:bidi w:val="0"/>
              <w:spacing w:before="0" w:after="283"/>
              <w:jc w:val="right"/>
              <w:rPr/>
            </w:pPr>
            <w:r>
              <w:rPr/>
              <w:t>$</w:t>
            </w:r>
          </w:p>
        </w:tc>
        <w:tc>
          <w:tcPr>
            <w:tcW w:w="614" w:type="dxa"/>
            <w:tcBorders>
              <w:bottom w:val="double" w:sz="8" w:space="0" w:color="000000"/>
            </w:tcBorders>
            <w:tcMar>
              <w:bottom w:w="5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Each $1.00 increase or decrease, as applicable, in the assumed initial public offering price of $       per share, the midpoint of the estimated offering price range listed on the cover page of this prospectus for this offering, would increase or decrease, as applicable, the pro forma as adjusted amount of each of cash, cash equivalents, and restricted cash, additional paid-in capital, total stockholders’ deficit and total capitalization by $       million, assuming that the number of shares offered by us in this offering remains the same and after deducting underwriting discounts and commissions and estimated offering expenses payable by us. Similarly, each increase or decrease, as applicable, of 1.0 million shares in the number of shares of common stock offered by us at the assumed initial public offering price per share, the midpoint of the estimated offering price range listed on the cover page of this prospectus in this offering, would increase or decrease, as applicable, the pro forma as adjusted amount of each of cash, cash equivalents, and restricted cash, additional paid-in capital, total stockholders’ deficit and total capitalization by $       million, after deducting underwriting discounts and commissions and estimated offering expenses payable by us.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8900" distB="0" distL="0" distR="0" simplePos="0" locked="0" layoutInCell="1" allowOverlap="1" relativeHeight="304">
                <wp:simplePos x="0" y="0"/>
                <wp:positionH relativeFrom="column">
                  <wp:align>left</wp:align>
                </wp:positionH>
                <wp:positionV relativeFrom="line">
                  <wp:align>top</wp:align>
                </wp:positionV>
                <wp:extent cx="254000" cy="233680"/>
                <wp:effectExtent l="0" t="0" r="0" b="0"/>
                <wp:wrapSquare wrapText="right"/>
                <wp:docPr id="282" name="Frame28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of shares of common stock that will be outstanding after this offering on a pro forma and pro forma as adjusted basis is based on       shares of common stock (which includes        shares of restricted common stock subject to repurchase or forfeiture) outstanding as of June 30, 2026 after giving effect to the automatic conversion of all outstanding shares of our convertible preferred stock and the Biogen Note into an aggregate of        shares of our common stock immediately prior to the completion of this offering, and excludes: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common stock issuable upon exercise of outstanding stock options as of June 30, 2026 under our 2023 Plan, with a weighted-average exercise price of $      per share;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05">
                <wp:simplePos x="0" y="0"/>
                <wp:positionH relativeFrom="column">
                  <wp:align>left</wp:align>
                </wp:positionH>
                <wp:positionV relativeFrom="line">
                  <wp:align>top</wp:align>
                </wp:positionV>
                <wp:extent cx="254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common stock issuable upon exercise of outstanding stock options granted after June 30, 2026 under our 2023 Plan, with a weighted-average exercise price of $      per share;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06">
                <wp:simplePos x="0" y="0"/>
                <wp:positionH relativeFrom="column">
                  <wp:align>left</wp:align>
                </wp:positionH>
                <wp:positionV relativeFrom="line">
                  <wp:align>top</wp:align>
                </wp:positionV>
                <wp:extent cx="254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common stock reserved for future issuance as of June 30, 2026 under our 2023 Plan, which will cease to be available for issuance at the time that our 2026 Plan becomes effective;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07">
                <wp:simplePos x="0" y="0"/>
                <wp:positionH relativeFrom="column">
                  <wp:align>left</wp:align>
                </wp:positionH>
                <wp:positionV relativeFrom="line">
                  <wp:align>top</wp:align>
                </wp:positionV>
                <wp:extent cx="254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our common stock reserved for future issuance under our 2026 Plan,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our 2023 Plan that expire or are repurchased, forfeited, cancelled or withheld;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08">
                <wp:simplePos x="0" y="0"/>
                <wp:positionH relativeFrom="column">
                  <wp:align>left</wp:align>
                </wp:positionH>
                <wp:positionV relativeFrom="line">
                  <wp:align>top</wp:align>
                </wp:positionV>
                <wp:extent cx="254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spacing w:val="-2"/>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 xml:space="preserve">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 </w:t>
      </w:r>
      <w:r>
        <mc:AlternateContent>
          <mc:Choice Requires="wps">
            <w:drawing>
              <wp:anchor behindDoc="0" distT="76200" distB="0" distL="254000" distR="0" simplePos="0" locked="0" layoutInCell="1" allowOverlap="1" relativeHeight="309">
                <wp:simplePos x="0" y="0"/>
                <wp:positionH relativeFrom="column">
                  <wp:align>left</wp:align>
                </wp:positionH>
                <wp:positionV relativeFrom="line">
                  <wp:align>top</wp:align>
                </wp:positionV>
                <wp:extent cx="254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IL"/>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DILUTION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historical net tangible book deficit as of June 30, 2026 was a deficit of $      million, or $      per share of our common stock. Our historical net tangible book deficit represents the amount of our total tangible assets (net of deferred offering costs) less our total liabilities and convertible preferred stock. Historical net tangible book deficit per share represents historical net tangible book deficit divided by the number of shares of our common stock outstanding as of June 30, 2026 (which excludes      shares of restricted common stock subject to repurchase or forfeiture).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pro forma net tangible book value as of June 30, 2026 was $      million, or $      per share. Pro forma net tangible book value per share represents the amount of our total tangible assets (net of deferred offering costs) less our total liabilities, divided by the number of shares of our common stock outstanding as of June 30, 2026, after giving effect to (i) the automatic conversion of all outstanding shares of convertible preferred stock into an aggregate of      shares of our common stock immediately prior to the completion of this offering and (ii) the automatic conversion of the outstanding principal and accrued interest under the Biogen Note into an aggregate of       shares of our common stock immediately prior to the completion of this offering, at a conversion price equal to 85% of the assumed initial public offering price of $       per share, the midpoint of the estimated offering price range listed on the cover page of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After giving further effect to the sale of        shares of common stock that we are offering at the assumed initial public offering price of $       per share, the midpoint of the estimated offering range set forth on the cover page of this prospectus, and after deducting underwriting discounts and commissions and estimated offering expenses payable by us, our pro forma as adjusted net tangible book value as of June 30, 2026 would have been $       million, or $       per share. This amount represents an immediate increase in pro forma as adjusted net tangible book value of $       per share to our existing stockholders and an immediate dilution in pro forma as adjusted net tangible book value of $       per share to new investors purchasing shares of common stock in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6244"/>
        <w:gridCol w:w="109"/>
        <w:gridCol w:w="109"/>
        <w:gridCol w:w="109"/>
        <w:gridCol w:w="226"/>
        <w:gridCol w:w="482"/>
        <w:gridCol w:w="109"/>
        <w:gridCol w:w="109"/>
        <w:gridCol w:w="109"/>
        <w:gridCol w:w="109"/>
        <w:gridCol w:w="226"/>
        <w:gridCol w:w="482"/>
        <w:gridCol w:w="109"/>
        <w:gridCol w:w="156"/>
      </w:tblGrid>
      <w:tr>
        <w:trPr/>
        <w:tc>
          <w:tcPr>
            <w:tcW w:w="124" w:type="dxa"/>
            <w:tcBorders/>
            <w:shd w:fill="CCEEFF" w:val="clear"/>
            <w:vAlign w:val="center"/>
          </w:tcPr>
          <w:p>
            <w:pPr>
              <w:pStyle w:val="TableContents"/>
              <w:bidi w:val="0"/>
              <w:spacing w:before="0" w:after="283"/>
              <w:jc w:val="left"/>
              <w:rPr/>
            </w:pPr>
            <w:r>
              <w:rPr/>
              <w:t>​</w:t>
            </w:r>
          </w:p>
        </w:tc>
        <w:tc>
          <w:tcPr>
            <w:tcW w:w="6244" w:type="dxa"/>
            <w:tcBorders/>
            <w:shd w:fill="CCEEFF" w:val="clear"/>
            <w:vAlign w:val="center"/>
          </w:tcPr>
          <w:p>
            <w:pPr>
              <w:pStyle w:val="TableContents"/>
              <w:bidi w:val="0"/>
              <w:spacing w:before="0" w:after="0"/>
              <w:jc w:val="left"/>
              <w:rPr>
                <w:spacing w:val="-2"/>
              </w:rPr>
            </w:pPr>
            <w:r>
              <w:rPr>
                <w:spacing w:val="-2"/>
              </w:rPr>
              <w:t xml:space="preserve">Assumed initial public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482"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482"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w:t>
            </w:r>
          </w:p>
        </w:tc>
        <w:tc>
          <w:tcPr>
            <w:tcW w:w="156"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44" w:type="dxa"/>
            <w:tcBorders/>
            <w:vAlign w:val="center"/>
          </w:tcPr>
          <w:p>
            <w:pPr>
              <w:pStyle w:val="TableContents"/>
              <w:bidi w:val="0"/>
              <w:spacing w:before="0" w:after="0"/>
              <w:ind w:left="200" w:right="0" w:hanging="0"/>
              <w:jc w:val="left"/>
              <w:rPr>
                <w:spacing w:val="-2"/>
              </w:rPr>
            </w:pPr>
            <w:r>
              <w:rPr>
                <w:spacing w:val="-2"/>
              </w:rPr>
              <w:t xml:space="preserve">Historical net tangible book deficit per share as of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482"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482"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44"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spacing w:val="-2"/>
              </w:rPr>
            </w:pPr>
            <w:r>
              <w:rPr>
                <w:spacing w:val="-2"/>
              </w:rPr>
              <w:t xml:space="preserve">Increase in net tangible book value per share attributable to the pro forma adjustment described above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482"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82"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244" w:type="dxa"/>
            <w:tcBorders/>
            <w:vAlign w:val="center"/>
          </w:tcPr>
          <w:p>
            <w:pPr>
              <w:pStyle w:val="TableContents"/>
              <w:bidi w:val="0"/>
              <w:spacing w:before="0" w:after="0"/>
              <w:ind w:left="200" w:right="0" w:hanging="0"/>
              <w:jc w:val="left"/>
              <w:rPr>
                <w:spacing w:val="-2"/>
              </w:rPr>
            </w:pPr>
            <w:r>
              <w:rPr>
                <w:spacing w:val="-2"/>
              </w:rPr>
              <w:t xml:space="preserve">Pro forma net tangible book value per share as of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482"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1"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44"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spacing w:val="-2"/>
              </w:rPr>
            </w:pPr>
            <w:r>
              <w:rPr>
                <w:spacing w:val="-2"/>
              </w:rPr>
              <w:t xml:space="preserve">Increase in pro forma net tangible book value per share attributable to new investors participating in this offering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482"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82"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24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Pro forma as adjusted net tangible book value per share after this 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482"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82"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244" w:type="dxa"/>
            <w:tcBorders/>
            <w:shd w:fill="CCEEFF" w:val="clear"/>
            <w:vAlign w:val="center"/>
          </w:tcPr>
          <w:p>
            <w:pPr>
              <w:pStyle w:val="TableContents"/>
              <w:bidi w:val="0"/>
              <w:spacing w:before="0" w:after="0"/>
              <w:jc w:val="left"/>
              <w:rPr>
                <w:spacing w:val="-2"/>
              </w:rPr>
            </w:pPr>
            <w:r>
              <w:rPr>
                <w:spacing w:val="-2"/>
              </w:rPr>
              <w:t xml:space="preserve">Dilution per share to new investors participating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482"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482"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6"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58"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dilution information discussed above is illustrative only and may change based on the actual initial public offering price and other terms of this offering. Each $1.00 increase or decrease, as applicable, in the assumed initial public offering price of $       per share, which is the midpoint of the estimated offering price range set forth on the cover page of this prospectus, would increase or decrease, as applicable, the pro forma as adjusted net tangible book value per share after this offering by $       , and dilution in pro forma net tangible book value per share to new investors by $       , assuming that the number of shares of common stock offered by us, as set forth on the cover page of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prospectus, remains the same, and after deducting underwriting discounts and commissions and estimated offering expenses payable by us. Similarly, each increase or decrease, as applicable, of 1.0 million shares in the number of shares of common stock offered by us, as set forth on the cover page of this prospectus, would increase or decrease, as applicable, our pro forma as adjusted net tangible book value per share after this offering by $       per share, in each case, and decrease or increase, as applicable, the dilution to investors participating in this offering by $       per share, assuming that the assumed initial public offering price remains the same, and after deducting underwriting discounts and commissions and estimated offering expenses payable by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underwriters exercise their option to purchase up to        additional shares of our common stock in full, the pro forma as adjusted net tangible book value after the offering would be $       per share, the increase in pro forma as adjusted net tangible book value per share to existing stockholders would be $       per share and the dilution per share to new investors would be $       per share, in each case assuming an initial public offering price of $       per share, the midpoint of the estimated offering range set forth on the cover page of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on the pro forma as adjusted basis described above, as of June 30, 2026, the differences between the number of shares of common stock purchased from us by our existing stockholders and common stock by new investors purchasing shares in this offering, the total consideration paid to us in cash and the average price per share paid by existing stockholders for shares of common stock issued prior to this offering and the price to be paid by new investors for shares of common stock in this offering. The calculation below is based on the assumed initial public offering price of $       per share, the midpoint of the estimated offering price range set forth on the cover page of this prospectus, before deducting underwriting discounts and commissions and estimated offering expenses payable by us.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337"/>
        <w:gridCol w:w="109"/>
        <w:gridCol w:w="109"/>
        <w:gridCol w:w="109"/>
        <w:gridCol w:w="109"/>
        <w:gridCol w:w="572"/>
        <w:gridCol w:w="109"/>
        <w:gridCol w:w="109"/>
        <w:gridCol w:w="109"/>
        <w:gridCol w:w="109"/>
        <w:gridCol w:w="109"/>
        <w:gridCol w:w="820"/>
        <w:gridCol w:w="109"/>
        <w:gridCol w:w="109"/>
        <w:gridCol w:w="109"/>
        <w:gridCol w:w="110"/>
        <w:gridCol w:w="228"/>
        <w:gridCol w:w="453"/>
        <w:gridCol w:w="110"/>
        <w:gridCol w:w="109"/>
        <w:gridCol w:w="109"/>
        <w:gridCol w:w="109"/>
        <w:gridCol w:w="109"/>
        <w:gridCol w:w="820"/>
        <w:gridCol w:w="109"/>
        <w:gridCol w:w="109"/>
        <w:gridCol w:w="109"/>
        <w:gridCol w:w="176"/>
        <w:gridCol w:w="364"/>
        <w:gridCol w:w="410"/>
        <w:gridCol w:w="178"/>
        <w:gridCol w:w="163"/>
      </w:tblGrid>
      <w:tr>
        <w:trPr/>
        <w:tc>
          <w:tcPr>
            <w:tcW w:w="23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Shares Purchased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6"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Consideration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28" w:type="dxa"/>
            <w:gridSpan w:val="4"/>
            <w:vMerge w:val="restart"/>
            <w:tcBorders>
              <w:bottom w:val="single" w:sz="2" w:space="0" w:color="000000"/>
            </w:tcBorders>
            <w:tcMar>
              <w:bottom w:w="50" w:type="dxa"/>
            </w:tcMar>
            <w:vAlign w:val="center"/>
          </w:tcPr>
          <w:p>
            <w:pPr>
              <w:pStyle w:val="TableContents"/>
              <w:bidi w:val="0"/>
              <w:spacing w:lineRule="atLeast" w:line="225" w:before="0" w:after="0"/>
              <w:jc w:val="center"/>
              <w:rPr/>
            </w:pPr>
            <w:r>
              <w:rPr>
                <w:spacing w:val="-2"/>
              </w:rPr>
              <w:t>Weighted-</w:t>
            </w:r>
            <w:r>
              <w:rPr/>
              <w:t xml:space="preserve"> </w:t>
              <w:br/>
            </w:r>
            <w:r>
              <w:rPr>
                <w:spacing w:val="-2"/>
              </w:rPr>
              <w:t>Average</w:t>
            </w:r>
            <w:r>
              <w:rPr/>
              <w:t xml:space="preserve"> </w:t>
              <w:br/>
            </w:r>
            <w:r>
              <w:rPr>
                <w:spacing w:val="-2"/>
              </w:rPr>
              <w:t>Price Per</w:t>
            </w:r>
            <w:r>
              <w:rPr/>
              <w:t xml:space="preserve"> </w:t>
              <w:br/>
            </w:r>
            <w:r>
              <w:rPr>
                <w:spacing w:val="-2"/>
              </w:rPr>
              <w:t xml:space="preserve">Share </w:t>
            </w:r>
          </w:p>
        </w:tc>
        <w:tc>
          <w:tcPr>
            <w:tcW w:w="163" w:type="dxa"/>
            <w:vMerge w:val="restart"/>
            <w:tcBorders>
              <w:bottom w:val="single" w:sz="2" w:space="0" w:color="FFFFFF"/>
            </w:tcBorders>
            <w:vAlign w:val="center"/>
          </w:tcPr>
          <w:p>
            <w:pPr>
              <w:pStyle w:val="TableContents"/>
              <w:bidi w:val="0"/>
              <w:spacing w:before="0" w:after="283"/>
              <w:jc w:val="left"/>
              <w:rPr/>
            </w:pPr>
            <w:r>
              <w:rPr/>
              <w:t>​</w:t>
            </w:r>
          </w:p>
        </w:tc>
      </w:tr>
      <w:tr>
        <w:trPr/>
        <w:tc>
          <w:tcPr>
            <w:tcW w:w="23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9"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7"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Percentage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1"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7"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Percentage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28" w:type="dxa"/>
            <w:gridSpan w:val="4"/>
            <w:vMerge w:val="continue"/>
            <w:tcBorders>
              <w:bottom w:val="single" w:sz="2" w:space="0" w:color="000000"/>
            </w:tcBorders>
            <w:tcMar>
              <w:bottom w:w="50" w:type="dxa"/>
            </w:tcMar>
            <w:vAlign w:val="center"/>
          </w:tcPr>
          <w:p>
            <w:pPr>
              <w:pStyle w:val="Normal"/>
              <w:bidi w:val="0"/>
              <w:jc w:val="left"/>
              <w:rPr/>
            </w:pPr>
            <w:r>
              <w:rPr/>
            </w:r>
          </w:p>
        </w:tc>
        <w:tc>
          <w:tcPr>
            <w:tcW w:w="163" w:type="dxa"/>
            <w:vMerge w:val="continue"/>
            <w:tcBorders>
              <w:bottom w:val="single" w:sz="2" w:space="0" w:color="FFFFFF"/>
            </w:tcBorders>
            <w:vAlign w:val="center"/>
          </w:tcPr>
          <w:p>
            <w:pPr>
              <w:pStyle w:val="Normal"/>
              <w:bidi w:val="0"/>
              <w:jc w:val="left"/>
              <w:rPr/>
            </w:pPr>
            <w:r>
              <w:rPr/>
            </w:r>
          </w:p>
        </w:tc>
      </w:tr>
      <w:tr>
        <w:trPr/>
        <w:tc>
          <w:tcPr>
            <w:tcW w:w="23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94" w:type="dxa"/>
            <w:gridSpan w:val="28"/>
            <w:tcBorders/>
            <w:tcMar>
              <w:bottom w:w="0" w:type="dxa"/>
            </w:tcMar>
            <w:vAlign w:val="center"/>
          </w:tcPr>
          <w:p>
            <w:pPr>
              <w:pStyle w:val="TableContents"/>
              <w:bidi w:val="0"/>
              <w:spacing w:before="0" w:after="0"/>
              <w:jc w:val="center"/>
              <w:rPr>
                <w:spacing w:val="-2"/>
              </w:rPr>
            </w:pPr>
            <w:r>
              <w:rPr>
                <w:spacing w:val="-2"/>
              </w:rPr>
              <w:t xml:space="preserve">(in thousands, except share, per share and percent data) </w:t>
            </w:r>
          </w:p>
        </w:tc>
        <w:tc>
          <w:tcPr>
            <w:tcW w:w="163" w:type="dxa"/>
            <w:tcBorders/>
            <w:tcMar>
              <w:bottom w:w="0" w:type="dxa"/>
            </w:tcMar>
            <w:vAlign w:val="center"/>
          </w:tcPr>
          <w:p>
            <w:pPr>
              <w:pStyle w:val="TableContents"/>
              <w:bidi w:val="0"/>
              <w:spacing w:before="0" w:after="283"/>
              <w:jc w:val="left"/>
              <w:rPr/>
            </w:pPr>
            <w:r>
              <w:rPr/>
              <w:t>​</w:t>
            </w:r>
          </w:p>
        </w:tc>
      </w:tr>
      <w:tr>
        <w:trPr/>
        <w:tc>
          <w:tcPr>
            <w:tcW w:w="2337" w:type="dxa"/>
            <w:tcBorders/>
            <w:shd w:fill="CCEEFF" w:val="clear"/>
            <w:tcMar>
              <w:bottom w:w="0" w:type="dxa"/>
            </w:tcMar>
            <w:vAlign w:val="center"/>
          </w:tcPr>
          <w:p>
            <w:pPr>
              <w:pStyle w:val="TableContents"/>
              <w:bidi w:val="0"/>
              <w:spacing w:before="0" w:after="0"/>
              <w:ind w:left="200" w:right="0" w:hanging="200"/>
              <w:jc w:val="left"/>
              <w:rPr/>
            </w:pPr>
            <w:r>
              <w:rPr>
                <w:spacing w:val="-2"/>
              </w:rPr>
              <w:t xml:space="preserve">Existing stockholders before this </w:t>
            </w:r>
            <w:r>
              <w:rPr/>
              <w:br/>
            </w:r>
            <w:r>
              <w:rPr>
                <w:spacing w:val="-2"/>
              </w:rPr>
              <w:t xml:space="preserve">offering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45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4"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7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337"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2"/>
              </w:rPr>
              <w:t xml:space="preserve">New investors purchasing shares in this </w:t>
            </w:r>
            <w:r>
              <w:rPr/>
              <w:br/>
            </w:r>
            <w:r>
              <w:rPr>
                <w:spacing w:val="-2"/>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572" w:type="dxa"/>
            <w:tcBorders>
              <w:bottom w:val="single" w:sz="2" w:space="0" w:color="000000"/>
            </w:tcBorders>
            <w:tcMar>
              <w:bottom w:w="37"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20" w:type="dxa"/>
            <w:tcBorders>
              <w:bottom w:val="single" w:sz="2" w:space="0" w:color="000000"/>
            </w:tcBorders>
            <w:tcMar>
              <w:bottom w:w="37" w:type="dxa"/>
            </w:tcMar>
            <w:vAlign w:val="center"/>
          </w:tcPr>
          <w:p>
            <w:pPr>
              <w:pStyle w:val="TableContents"/>
              <w:bidi w:val="0"/>
              <w:spacing w:before="0" w:after="283"/>
              <w:jc w:val="right"/>
              <w:rPr/>
            </w:pPr>
            <w:r>
              <w:rP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8" w:type="dxa"/>
            <w:tcBorders>
              <w:bottom w:val="single" w:sz="2" w:space="0" w:color="000000"/>
            </w:tcBorders>
            <w:tcMar>
              <w:bottom w:w="37" w:type="dxa"/>
            </w:tcMar>
            <w:vAlign w:val="center"/>
          </w:tcPr>
          <w:p>
            <w:pPr>
              <w:pStyle w:val="TableContents"/>
              <w:bidi w:val="0"/>
              <w:spacing w:before="0" w:after="283"/>
              <w:jc w:val="right"/>
              <w:rPr/>
            </w:pPr>
            <w:r>
              <w:rPr/>
              <w:t>​</w:t>
            </w:r>
          </w:p>
        </w:tc>
        <w:tc>
          <w:tcPr>
            <w:tcW w:w="453" w:type="dxa"/>
            <w:tcBorders>
              <w:bottom w:val="single" w:sz="2" w:space="0" w:color="000000"/>
            </w:tcBorders>
            <w:tcMar>
              <w:bottom w:w="37" w:type="dxa"/>
            </w:tcMar>
            <w:vAlign w:val="center"/>
          </w:tcPr>
          <w:p>
            <w:pPr>
              <w:pStyle w:val="TableContents"/>
              <w:bidi w:val="0"/>
              <w:spacing w:before="0" w:after="283"/>
              <w:jc w:val="righ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820" w:type="dxa"/>
            <w:tcBorders>
              <w:bottom w:val="single" w:sz="2" w:space="0" w:color="000000"/>
            </w:tcBorders>
            <w:tcMar>
              <w:bottom w:w="37" w:type="dxa"/>
            </w:tcMar>
            <w:vAlign w:val="center"/>
          </w:tcPr>
          <w:p>
            <w:pPr>
              <w:pStyle w:val="TableContents"/>
              <w:bidi w:val="0"/>
              <w:spacing w:before="0" w:after="283"/>
              <w:jc w:val="right"/>
              <w:rPr/>
            </w:pPr>
            <w:r>
              <w:rP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 w:type="dxa"/>
            <w:tcBorders>
              <w:bottom w:val="single" w:sz="2" w:space="0" w:color="FFFFFF"/>
            </w:tcBorders>
            <w:vAlign w:val="center"/>
          </w:tcPr>
          <w:p>
            <w:pPr>
              <w:pStyle w:val="TableContents"/>
              <w:bidi w:val="0"/>
              <w:spacing w:before="0" w:after="283"/>
              <w:jc w:val="left"/>
              <w:rPr/>
            </w:pPr>
            <w:r>
              <w:rPr/>
              <w:t>​</w:t>
            </w:r>
          </w:p>
        </w:tc>
        <w:tc>
          <w:tcPr>
            <w:tcW w:w="364" w:type="dxa"/>
            <w:tcBorders>
              <w:bottom w:val="single" w:sz="2" w:space="0" w:color="FFFFFF"/>
            </w:tcBorders>
            <w:tcMar>
              <w:bottom w:w="37" w:type="dxa"/>
            </w:tcMar>
            <w:vAlign w:val="center"/>
          </w:tcPr>
          <w:p>
            <w:pPr>
              <w:pStyle w:val="TableContents"/>
              <w:bidi w:val="0"/>
              <w:spacing w:before="0" w:after="283"/>
              <w:jc w:val="right"/>
              <w:rPr/>
            </w:pPr>
            <w:r>
              <w:rPr/>
              <w:t>$</w:t>
            </w:r>
          </w:p>
        </w:tc>
        <w:tc>
          <w:tcPr>
            <w:tcW w:w="410" w:type="dxa"/>
            <w:tcBorders>
              <w:bottom w:val="single" w:sz="2" w:space="0" w:color="FFFFFF"/>
            </w:tcBorders>
            <w:tcMar>
              <w:bottom w:w="37" w:type="dxa"/>
            </w:tcMar>
            <w:vAlign w:val="center"/>
          </w:tcPr>
          <w:p>
            <w:pPr>
              <w:pStyle w:val="TableContents"/>
              <w:bidi w:val="0"/>
              <w:spacing w:before="0" w:after="283"/>
              <w:jc w:val="right"/>
              <w:rPr/>
            </w:pPr>
            <w:r>
              <w:rPr/>
              <w:t>   </w:t>
            </w:r>
          </w:p>
        </w:tc>
        <w:tc>
          <w:tcPr>
            <w:tcW w:w="178" w:type="dxa"/>
            <w:tcBorders>
              <w:bottom w:val="single" w:sz="2" w:space="0" w:color="FFFFFF"/>
            </w:tcBorders>
            <w:vAlign w:val="center"/>
          </w:tcPr>
          <w:p>
            <w:pPr>
              <w:pStyle w:val="TableContents"/>
              <w:bidi w:val="0"/>
              <w:spacing w:before="0" w:after="283"/>
              <w:jc w:val="left"/>
              <w:rPr/>
            </w:pPr>
            <w:r>
              <w:rPr/>
              <w:t>​</w:t>
            </w:r>
          </w:p>
        </w:tc>
        <w:tc>
          <w:tcPr>
            <w:tcW w:w="163" w:type="dxa"/>
            <w:tcBorders>
              <w:bottom w:val="single" w:sz="2" w:space="0" w:color="FFFFFF"/>
            </w:tcBorders>
            <w:vAlign w:val="center"/>
          </w:tcPr>
          <w:p>
            <w:pPr>
              <w:pStyle w:val="TableContents"/>
              <w:bidi w:val="0"/>
              <w:spacing w:before="0" w:after="283"/>
              <w:jc w:val="left"/>
              <w:rPr/>
            </w:pPr>
            <w:r>
              <w:rPr/>
              <w:t>​</w:t>
            </w:r>
          </w:p>
        </w:tc>
      </w:tr>
      <w:tr>
        <w:trPr/>
        <w:tc>
          <w:tcPr>
            <w:tcW w:w="2337" w:type="dxa"/>
            <w:tcBorders/>
            <w:shd w:fill="CCEEFF" w:val="clear"/>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7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20" w:type="dxa"/>
            <w:tcBorders>
              <w:bottom w:val="double" w:sz="8" w:space="0" w:color="000000"/>
            </w:tcBorders>
            <w:shd w:fill="CCEEFF" w:val="clear"/>
            <w:tcMar>
              <w:bottom w:w="5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53"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20" w:type="dxa"/>
            <w:tcBorders>
              <w:bottom w:val="double" w:sz="8" w:space="0" w:color="000000"/>
            </w:tcBorders>
            <w:shd w:fill="CCEEFF" w:val="clear"/>
            <w:tcMar>
              <w:bottom w:w="5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4"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 of the total number of shares of our common stock outstanding after this offering, and the number of shares of our common stock held by new investors purchasing common stock in this offering would be increased to     % of the total number of shares of our common stock outstanding after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Each $1.00 increase or decrease, as applicable, in the assumed initial public offering price of $       per share, which is the midpoint of the estimated offering price range set forth on the cover page of this prospectus, would increase or decrease, as applicable, the total consideration paid by new investors by $       million and, in the case of an increase, would increase the percentage of total consideration paid by new investors to    % and, in the case of a decrease, would decrease the percentage of total consideration paid by new investors to    %, assuming that the number of shares offered by us, as set forth on the cover page of this prospectus, remains the same. Similarly, each increase or decrease, as applicable, of 1.0 million shares in the number of shares offered by us, would increase or decrease, as applicable, the total consideration paid by new investors by $       million and, in the case of an increase, would increase the percentage of total consideration paid by new investors to    % and, in the case of a decrease, would decrease the percentage of total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396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consideration paid by new investors to    %, assuming that the assumed initial public offering price of $       per share remains the same.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foregoing tables and calculations (other than the historical net tangible book deficit calculation) are based on      shares of common stock (which excludes        shares of restricted common stock subject to repurchase or forfeiture) outstanding as of June 30, 2026, after giving effect to the automatic conversion of outstanding shares of our convertible preferred stock and the Biogen Note into shares of common stock immediately prior to the completion of this offering, and excludes: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common stock issuable upon exercise of outstanding stock options as of June 30, 2026 under our 2023 Plan, with a weighted-average exercise price of $      per share;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0">
                <wp:simplePos x="0" y="0"/>
                <wp:positionH relativeFrom="column">
                  <wp:align>left</wp:align>
                </wp:positionH>
                <wp:positionV relativeFrom="line">
                  <wp:align>top</wp:align>
                </wp:positionV>
                <wp:extent cx="254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common stock issuable upon exercise of outstanding stock options granted after June 30, 2026 under our 2023 Plan, with a weighted-average exercise price of $      per share;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1">
                <wp:simplePos x="0" y="0"/>
                <wp:positionH relativeFrom="column">
                  <wp:align>left</wp:align>
                </wp:positionH>
                <wp:positionV relativeFrom="line">
                  <wp:align>top</wp:align>
                </wp:positionV>
                <wp:extent cx="254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common stock reserved for future issuance as of June 30, 2026 under our 2023 Plan, which will cease to be available for issuance at the time that our 2026 Plan becomes effective;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2">
                <wp:simplePos x="0" y="0"/>
                <wp:positionH relativeFrom="column">
                  <wp:align>left</wp:align>
                </wp:positionH>
                <wp:positionV relativeFrom="line">
                  <wp:align>top</wp:align>
                </wp:positionV>
                <wp:extent cx="254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our common stock reserved for future issuance under our 2026 Plan,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our 2023 Plan that expire or are repurchased, forfeited, cancelled or withheld;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3">
                <wp:simplePos x="0" y="0"/>
                <wp:positionH relativeFrom="column">
                  <wp:align>left</wp:align>
                </wp:positionH>
                <wp:positionV relativeFrom="line">
                  <wp:align>top</wp:align>
                </wp:positionV>
                <wp:extent cx="254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4">
                <wp:simplePos x="0" y="0"/>
                <wp:positionH relativeFrom="column">
                  <wp:align>left</wp:align>
                </wp:positionH>
                <wp:positionV relativeFrom="line">
                  <wp:align>top</wp:align>
                </wp:positionV>
                <wp:extent cx="254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the extent that outstanding options are exercised,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MDAAO"/>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 xml:space="preserve">MANAGEMENT’S DISCUSSION AND ANALYSIS OF FINANCIAL CONDITION AND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RESULTS OF OPERATIONS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You should read the following discussion and analysis of our financial condition and results of operations in conjunction with our audited consolidated financial statements and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Our historical results are not necessarily indicative of the results that may be expected for any period in the future. Please also see the section titled “Cautionary Note Regarding Forward-Looking Statements.” Unless otherwise indicated, all references in this section to the “company,” “we,” “our,” “us,” or similar terms refer to City Therapeutics, Inc. and its wholly-owned subsidiary.</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Overview</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 clinical-stage biotechnology company developing the next-generation of RNAi therapeutics designed to silence the expression of disease-relevant proteins, with the aim of delivering meaningful and durable benefits for patients in need. The City Platform is the engine behind every therapeutic we develop. Our City Platform is designed to integrate three core capabilities: RNAi trigger engineering, novel delivery conjugates that allow for tissue selectivity, and target discovery and validation enabled by our insights into human genetics. Critical to every RNAi medicine is the trigger that harnesses the cellular RNAi machinery to silence a disease-relevant gene. Our most advanced product candidate, CITY-FXI, is an optimized GalNAc-conjugated siRNA therapeutic targeting FXI for the prevention and treatment of thrombosis. CITY-FXI is currently in a Phase 1 clinical trial. Our second product candidate, CITY-RBP4, is an optimized GalNAc-conjugated siRNA therapeutic, in development for the treatment of Stargardt disease, which is the most common inherited macular degenerative disease in children and young adults, and other ocular diseases. In mid-2026, we filed an application for CITY-RBP4 to initiate a Phase 1 clinical trial in           . Our third program, CITY-TFR2, is an optimized GalNAc-conjugated siRNA therapeutic in development for the treatment of anemia of chronic disease. An IIT for CITY-TFR2 is expected to begin in China for the treatment of anemia in myelofibrosis patients in           , and we plan to file an IND or IND-equivalent application by           . In addition to our wholly-owned pipeline, we have entered into research collaboration and license agreements with two industry collaboration partners: in July 2024, we entered into the B+L Agreement with Bausch + Lomb, focused on the discovery and development of intravitreally administered RNAi therapeutics in ocular diseases; and in May 2025, we entered into the Biogen Agreement with Biogen, focused on the discovery and development of RNAi triggers for use in systemic delivery of RNAi to treat neurodegenerative conditions. In addition, we entered into the OSIF License Agreement with OSIF in October 2023, pursuant to which OSIF granted us an exclusive, royalty-bearing license to certain patent rights to make, have made, use, sell, and import licensed products.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were incorporated in the State of Delaware in July 2023. We have our principal executive offices located in Cambridge, Massachusetts. Our wholly-owned subsidiary, City Therapeutics Securities Corporation, is a Massachusetts securities corporation.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have devoted substantially all of our efforts to research and development activities, advancing development of the portfolio of programs and platforms, raising capital, developing and maintaining our intellectual property, hiring personnel, and providing general and administrative support for these operations. Since inception, we have funded our operations with proceeds from the issuance and sale of convertible preferred stock, including $4.5 million in gross proceeds from sales of our Series Seed convertible preferred stock from September 2023 through March 2024, $134.7 million in gross proceeds from sales of our Series A convertible preferred stock from April 2024 through December 2024, and $99.5 million in gross proceeds from sales of our Series B convertible preferred stock 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May 2026 through June 2026, the issuance of convertible notes in the amounts of $10.0 million and $30.0 million to Bausch + Lomb and Biogen, respectively, and from non-refundable upfront payments of $5.0 million and $16.0 million from our collaboration arrangements with Bausch + Lomb and Biogen, respectively. As of December 31, 2025, we had cash, cash equivalents, and restricted cash of $115.3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incurred significant operating losses since our inception and expect to continue to generate operating losses for the foreseeable future. Our ability to generate revenue from product sales sufficient to achieve profitability will depend on the successful development and eventual commercialization of any product candidates we may develop. During the years ended December 31, 2024 and 2025, we had a net loss of $27.8 million and $58.5 million, respectively. As of December 31, 2025, we had an accumulated deficit of $89.1 million. We expect our expenses and operating losses will increase substantially as we: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advance our product candidates through preclinical and clinical development, including continuing the Phase 1 clinical trial for CITY-FXI and advancing other programs through preclinical and clinical development;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seek regulatory approvals for our product candidates that successfully complete clinical trials from the Regulatory Authorities;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hire additional clinical, quality control, medical, scientific, and other technical personnel to support the clinical development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7">
                <wp:simplePos x="0" y="0"/>
                <wp:positionH relativeFrom="column">
                  <wp:align>left</wp:align>
                </wp:positionH>
                <wp:positionV relativeFrom="line">
                  <wp:align>top</wp:align>
                </wp:positionV>
                <wp:extent cx="254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expand our internal capabilities to support clinical-stage development;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8">
                <wp:simplePos x="0" y="0"/>
                <wp:positionH relativeFrom="column">
                  <wp:align>left</wp:align>
                </wp:positionH>
                <wp:positionV relativeFrom="line">
                  <wp:align>top</wp:align>
                </wp:positionV>
                <wp:extent cx="254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increase our headcount as we expand our research and development organization, and pre-commercial planning activities;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19">
                <wp:simplePos x="0" y="0"/>
                <wp:positionH relativeFrom="column">
                  <wp:align>left</wp:align>
                </wp:positionH>
                <wp:positionV relativeFrom="line">
                  <wp:align>top</wp:align>
                </wp:positionV>
                <wp:extent cx="254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undertake any activities to establish sales, marketing, and distribution capabilities in preparation for commercialization, as applicable, including hiring additional personnel to support such operations;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0">
                <wp:simplePos x="0" y="0"/>
                <wp:positionH relativeFrom="column">
                  <wp:align>left</wp:align>
                </wp:positionH>
                <wp:positionV relativeFrom="line">
                  <wp:align>top</wp:align>
                </wp:positionV>
                <wp:extent cx="254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seek to identify, acquire, and develop additional product candidates where we can leverage our City Platform, including through business development efforts to invest in or in-license other technologies or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1">
                <wp:simplePos x="0" y="0"/>
                <wp:positionH relativeFrom="column">
                  <wp:align>left</wp:align>
                </wp:positionH>
                <wp:positionV relativeFrom="line">
                  <wp:align>top</wp:align>
                </wp:positionV>
                <wp:extent cx="254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maintain, expand, and protect our intellectual property portfolio;</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2">
                <wp:simplePos x="0" y="0"/>
                <wp:positionH relativeFrom="column">
                  <wp:align>left</wp:align>
                </wp:positionH>
                <wp:positionV relativeFrom="line">
                  <wp:align>top</wp:align>
                </wp:positionV>
                <wp:extent cx="254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experience heightened regulatory scrutiny;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3">
                <wp:simplePos x="0" y="0"/>
                <wp:positionH relativeFrom="column">
                  <wp:align>left</wp:align>
                </wp:positionH>
                <wp:positionV relativeFrom="line">
                  <wp:align>top</wp:align>
                </wp:positionV>
                <wp:extent cx="254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make milestone, royalty, or other payments due under the OSIF License Agreement, and any future in-license or collaboration agreements with third parties;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4">
                <wp:simplePos x="0" y="0"/>
                <wp:positionH relativeFrom="column">
                  <wp:align>left</wp:align>
                </wp:positionH>
                <wp:positionV relativeFrom="line">
                  <wp:align>top</wp:align>
                </wp:positionV>
                <wp:extent cx="2540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incur additional legal, audit, regulatory, tax and other expenses associated with operating as a public company.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5">
                <wp:simplePos x="0" y="0"/>
                <wp:positionH relativeFrom="column">
                  <wp:align>left</wp:align>
                </wp:positionH>
                <wp:positionV relativeFrom="line">
                  <wp:align>top</wp:align>
                </wp:positionV>
                <wp:extent cx="2540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do not expect to generate any revenue from product sales unless and until we successfully complete the clinical development or future clinical development of, and obtain regulatory approval for, one or more of our current or future product candidates, which may not occur for several years, if at all. In addition, if we obtain marketing approval for our product candidates and any other product candidates we may identify and pursue, we expect to incur significant commercialization expenses related to product manufacturing, sales, marketing and distribution.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net losses may fluctuate significantly from quarter-to-quarter and year-to-year, depending on the timing of our preclinical studies and planned clinical trials and our expenditures on other research and development activities. There can be no assurance that our research and development efforts will be successfully completed, that adequate protection for our intellectual property will be obtained, that any products developed will obtain necessary government regulatory approval or that any approved products will be commercially viable. Even if our product development efforts are successful, it is uncertain when, if ever, we will generate significant revenue from product sales. We operate in an environment of rapid change in technology and substantial competition from pharmaceutical and biotechnology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companies. In addition, we are dependent upon the services of our employees and consultants. Accordingly, until such time as we can generate significant revenue from our existing or future product candidates, if ever, we expect to finance our cash needs through private and public equity financings, additional collaborations, strategic alliances and marketing, distribution or license arrangements. See the section titled “</w:t>
      </w:r>
      <w:r>
        <w:rPr>
          <w:rFonts w:ascii="Helvetica;Arial;sans-serif" w:hAnsi="Helvetica;Arial;sans-serif"/>
          <w:b w:val="false"/>
          <w:i/>
          <w:caps w:val="false"/>
          <w:smallCaps w:val="false"/>
          <w:color w:val="000000"/>
          <w:spacing w:val="-2"/>
          <w:sz w:val="20"/>
        </w:rPr>
        <w:t>Liquidity and Capital Resources.</w:t>
      </w:r>
      <w:r>
        <w:rPr>
          <w:rFonts w:ascii="Helvetica;Arial;sans-serif" w:hAnsi="Helvetica;Arial;sans-serif"/>
          <w:b w:val="false"/>
          <w:i w:val="false"/>
          <w:caps w:val="false"/>
          <w:smallCaps w:val="false"/>
          <w:color w:val="000000"/>
          <w:spacing w:val="-2"/>
          <w:sz w:val="20"/>
        </w:rPr>
        <w:t>” However, we may be unable to obtain financing on acceptable terms, or at all, and we may not be able to enter into additional collaborations or other arrangements. The terms of any financing may adversely affect the holdings or the rights of our stockholders. Our inability to raise capital or enter into such other arrangements when needed would have a negative impact on our financial condition and could force us to delay, scale back or discontinue some or all of our research and development programs, product portfolio expansion efforts or commercialization efforts. Although we continue to pursue these plans, there is no assurance that we will be successful in obtaining sufficient funding on terms acceptable to us to fund continuing operations, if at all.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based on our current operating plan, that our cash and cash equivalents as of June 30, 2026, together with the net proceeds from this offering, will be sufficient to fund our operating expenses and capital expenditure requirements into           . See sections titled “</w:t>
      </w:r>
      <w:r>
        <w:rPr>
          <w:rFonts w:ascii="Helvetica;Arial;sans-serif" w:hAnsi="Helvetica;Arial;sans-serif"/>
          <w:b w:val="false"/>
          <w:i/>
          <w:caps w:val="false"/>
          <w:smallCaps w:val="false"/>
          <w:color w:val="000000"/>
          <w:spacing w:val="-2"/>
          <w:sz w:val="20"/>
        </w:rPr>
        <w:t>Use of Proceeds</w:t>
      </w:r>
      <w:r>
        <w:rPr>
          <w:rFonts w:ascii="Helvetica;Arial;sans-serif" w:hAnsi="Helvetica;Arial;sans-serif"/>
          <w:b w:val="false"/>
          <w:i w:val="false"/>
          <w:caps w:val="false"/>
          <w:smallCaps w:val="false"/>
          <w:color w:val="000000"/>
          <w:spacing w:val="-2"/>
          <w:sz w:val="20"/>
        </w:rPr>
        <w:t>,” “</w:t>
      </w:r>
      <w:r>
        <w:rPr>
          <w:rFonts w:ascii="Helvetica;Arial;sans-serif" w:hAnsi="Helvetica;Arial;sans-serif"/>
          <w:b w:val="false"/>
          <w:i/>
          <w:caps w:val="false"/>
          <w:smallCaps w:val="false"/>
          <w:color w:val="000000"/>
          <w:spacing w:val="-2"/>
          <w:sz w:val="20"/>
        </w:rPr>
        <w:t>Liquidity and Capital Resources,</w:t>
      </w:r>
      <w:r>
        <w:rPr>
          <w:rFonts w:ascii="Helvetica;Arial;sans-serif" w:hAnsi="Helvetica;Arial;sans-serif"/>
          <w:b w:val="false"/>
          <w:i w:val="false"/>
          <w:caps w:val="false"/>
          <w:smallCaps w:val="false"/>
          <w:color w:val="000000"/>
          <w:spacing w:val="-2"/>
          <w:sz w:val="20"/>
        </w:rPr>
        <w:t>” “</w:t>
      </w:r>
      <w:r>
        <w:rPr>
          <w:rFonts w:ascii="Helvetica;Arial;sans-serif" w:hAnsi="Helvetica;Arial;sans-serif"/>
          <w:b w:val="false"/>
          <w:i/>
          <w:caps w:val="false"/>
          <w:smallCaps w:val="false"/>
          <w:color w:val="000000"/>
          <w:spacing w:val="-2"/>
          <w:sz w:val="20"/>
        </w:rPr>
        <w:t>Risk Factors — Risks Related to Our Limited Operating History, Financial Condition and Need for Additional Capital,</w:t>
      </w:r>
      <w:r>
        <w:rPr>
          <w:rFonts w:ascii="Helvetica;Arial;sans-serif" w:hAnsi="Helvetica;Arial;sans-serif"/>
          <w:b w:val="false"/>
          <w:i w:val="false"/>
          <w:caps w:val="false"/>
          <w:smallCaps w:val="false"/>
          <w:color w:val="000000"/>
          <w:spacing w:val="-2"/>
          <w:sz w:val="20"/>
        </w:rPr>
        <w:t>” and Note 1 to our audited consolidated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Components of Results of Operations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discussion summarizes the key components of our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Collaboration Revenue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revenue to date has been generated primarily from our research collaboration and license agreements with Bausch + Lomb and Biogen. We recognize revenue under these arrangements over time as we perform the research services using an input method which is based on the actual costs incurred relative to total costs expected to be incurred. We have not generated any revenue from product sales and do not expect to do so for the foreseeable future. We expect that any revenue we generate from our existing collaborations will fluctuate from period to period based on the timing of our research and development activities, and our ability to achieve specified milestones. If we enter into additional collaboration or license agreements with third parties, we may generate revenue in the future from payments from such collaboration or license agreements, or any combination thereof. However, there can be no assurance as to when we will generate such revenue, if at all.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Operating Expenses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Research and Development Expenses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and development costs are expensed as incurred. Research and development costs include salaries, stock-based compensation and other employee benefit expenses, consultants, costs of funding research performed by third parties on our behalf, lab-related supplies, allocation of corporate costs and other operational costs related to our research and development activities, including allocated facility-related expenses and costs associated with licenses and the acquisition of technology.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Non-refundable advance payments for goods and services to be received in the future for use in research and development activities are recorded as prepaid expenses on the accompanying consolidated balance sheets. The prepaid amounts are expensed as the related goods are delivered or the services are performed, or when it is no longer expected that the goods will be delivered, or the services rendered.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record accrued liabilities for estimated costs of research and development activities conducted by third-party service providers. We accrue these costs based on factors such as estimates of the work completed and in accordance with agreements established with our third-party service providers under the service agreements. We make significant judgments and estimates in determining the accrued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2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liabilities balance in each reporting period. As actual costs become known, we adjust our accrued liabilities. The historical accrual estimates made by us have not been materially different from the actual costs.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research and development expenses to increase as we continue advancing our current and future product candidates through clinical development and invest in the development of additional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General and Administrative Expenses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 and administrative expenses consist primarily of salaries and personnel-related costs, including stock-based compensation expense, for our personnel in executive, business development, legal, finance and accounting, human resources and other administrative functions. General and administrative expenses also include consulting fees, facility costs not otherwise included in research and development expenses, fees paid for accounting and tax services, insurance expenses, and legal costs consisting of general corporate legal fees and patent legal fees.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anticipate that our general and administrative expenses will increase in the future as we increase our headcount to support the expansion of our business, particularly in support of development of product candidates and our continued research and clinical development activities. We will also incur significant costs associated with being a public company, including increased accounting, audit, legal, regulatory, compliance, and director and officer insurance costs, as well as expenses related to services associated with maintaining compliance with the requirements of the Nasdaq Stock Market, the SEC, and investor relations costs.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Total Other Income, Net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Total other income, net, consists primarily of (i) interest income earned on our cash and cash equivalents, (ii) interest expense on our convertible notes (the “Original Notes”) issued to ARCH Venture Fund XII L.P. (“ARCH”) and one of our founders (the “Founder”), as well as the convertible notes issued to Bausch + Lomb (“B+L Note”) and Biogen (“Biogen Note”) in connection with our research collaboration and license agreements, (iii) the changes in the fair value of these convertible notes recorded through earnings as they were accounted for under the fair value option, and (iv) gain resulting from our lease modification.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Results of Operations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Comparison of the years ended December 31, 2024 and 2025</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results of operations (in thousands):</w:t>
      </w:r>
      <w:r>
        <w:rPr>
          <w:rFonts w:ascii="Helvetica;Arial;sans-serif" w:hAnsi="Helvetica;Arial;sans-serif"/>
          <w:b w:val="false"/>
          <w:i w:val="false"/>
          <w:caps w:val="false"/>
          <w:smallCaps w:val="false"/>
          <w:color w:val="000000"/>
          <w:spacing w:val="4"/>
          <w:sz w:val="20"/>
        </w:rPr>
        <w:t xml:space="preserve"> </w:t>
      </w:r>
    </w:p>
    <w:tbl>
      <w:tblPr>
        <w:tblW w:w="7581" w:type="dxa"/>
        <w:jc w:val="left"/>
        <w:tblInd w:w="1393" w:type="dxa"/>
        <w:tblLayout w:type="fixed"/>
        <w:tblCellMar>
          <w:top w:w="0" w:type="dxa"/>
          <w:left w:w="0" w:type="dxa"/>
          <w:bottom w:w="28" w:type="dxa"/>
          <w:right w:w="0" w:type="dxa"/>
        </w:tblCellMar>
      </w:tblPr>
      <w:tblGrid>
        <w:gridCol w:w="2693"/>
        <w:gridCol w:w="109"/>
        <w:gridCol w:w="109"/>
        <w:gridCol w:w="109"/>
        <w:gridCol w:w="226"/>
        <w:gridCol w:w="916"/>
        <w:gridCol w:w="109"/>
        <w:gridCol w:w="109"/>
        <w:gridCol w:w="109"/>
        <w:gridCol w:w="109"/>
        <w:gridCol w:w="226"/>
        <w:gridCol w:w="916"/>
        <w:gridCol w:w="109"/>
        <w:gridCol w:w="109"/>
        <w:gridCol w:w="109"/>
        <w:gridCol w:w="109"/>
        <w:gridCol w:w="226"/>
        <w:gridCol w:w="916"/>
        <w:gridCol w:w="109"/>
        <w:gridCol w:w="154"/>
      </w:tblGrid>
      <w:tr>
        <w:trPr/>
        <w:tc>
          <w:tcPr>
            <w:tcW w:w="26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8" w:type="dxa"/>
            <w:gridSpan w:val="10"/>
            <w:tcBorders>
              <w:bottom w:val="single" w:sz="2" w:space="0" w:color="000000"/>
            </w:tcBorders>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35" w:type="dxa"/>
            </w:tcMar>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2"/>
              </w:rPr>
            </w:pPr>
            <w:r>
              <w:rPr>
                <w:spacing w:val="-2"/>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13,562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10,784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25,682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58,420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32,738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6,186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15,064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8,878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35" w:type="dxa"/>
            </w:tcMar>
            <w:vAlign w:val="center"/>
          </w:tcPr>
          <w:p>
            <w:pPr>
              <w:pStyle w:val="TableContents"/>
              <w:bidi w:val="0"/>
              <w:spacing w:before="0" w:after="283"/>
              <w:jc w:val="right"/>
              <w:rPr/>
            </w:pPr>
            <w:r>
              <w:rPr/>
              <w:t>31,868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35" w:type="dxa"/>
            </w:tcMar>
            <w:vAlign w:val="center"/>
          </w:tcPr>
          <w:p>
            <w:pPr>
              <w:pStyle w:val="TableContents"/>
              <w:bidi w:val="0"/>
              <w:spacing w:before="0" w:after="283"/>
              <w:jc w:val="right"/>
              <w:rPr/>
            </w:pPr>
            <w:r>
              <w:rPr/>
              <w:t>73,484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35" w:type="dxa"/>
            </w:tcMar>
            <w:vAlign w:val="center"/>
          </w:tcPr>
          <w:p>
            <w:pPr>
              <w:pStyle w:val="TableContents"/>
              <w:bidi w:val="0"/>
              <w:spacing w:before="0" w:after="283"/>
              <w:jc w:val="right"/>
              <w:rPr/>
            </w:pPr>
            <w:r>
              <w:rPr/>
              <w:t>41,616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693" w:type="dxa"/>
            <w:tcBorders>
              <w:bottom w:val="single" w:sz="2" w:space="0" w:color="FFFFFF"/>
            </w:tcBorders>
            <w:vAlign w:val="center"/>
          </w:tcPr>
          <w:p>
            <w:pPr>
              <w:pStyle w:val="TableContents"/>
              <w:bidi w:val="0"/>
              <w:spacing w:before="0" w:after="0"/>
              <w:jc w:val="left"/>
              <w:rPr>
                <w:spacing w:val="-2"/>
              </w:rPr>
            </w:pPr>
            <w:r>
              <w:rPr>
                <w:spacing w:val="-2"/>
              </w:rPr>
              <w:t xml:space="preserve">Loss from operations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(29,090)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(59,922)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(30,832)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283"/>
              <w:jc w:val="left"/>
              <w:rPr>
                <w:spacing w:val="-2"/>
              </w:rPr>
            </w:pPr>
            <w:r>
              <w:rPr>
                <w:spacing w:val="-2"/>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ind w:left="200" w:right="0" w:hanging="0"/>
              <w:jc w:val="left"/>
              <w:rPr>
                <w:spacing w:val="-2"/>
              </w:rPr>
            </w:pPr>
            <w:r>
              <w:rPr>
                <w:spacing w:val="-2"/>
              </w:rPr>
              <w:t xml:space="preserve">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2,397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4,208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1,811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(2,257)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Other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(695)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(534)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tcMar>
              <w:bottom w:w="35" w:type="dxa"/>
            </w:tcMar>
            <w:vAlign w:val="center"/>
          </w:tcPr>
          <w:p>
            <w:pPr>
              <w:pStyle w:val="TableContents"/>
              <w:bidi w:val="0"/>
              <w:spacing w:before="0" w:after="283"/>
              <w:jc w:val="right"/>
              <w:rPr/>
            </w:pPr>
            <w:r>
              <w:rPr/>
              <w:t>161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Total other income,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35" w:type="dxa"/>
            </w:tcMar>
            <w:vAlign w:val="center"/>
          </w:tcPr>
          <w:p>
            <w:pPr>
              <w:pStyle w:val="TableContents"/>
              <w:bidi w:val="0"/>
              <w:spacing w:before="0" w:after="283"/>
              <w:jc w:val="right"/>
              <w:rPr/>
            </w:pPr>
            <w:r>
              <w:rPr/>
              <w:t>1,254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35" w:type="dxa"/>
            </w:tcMar>
            <w:vAlign w:val="center"/>
          </w:tcPr>
          <w:p>
            <w:pPr>
              <w:pStyle w:val="TableContents"/>
              <w:bidi w:val="0"/>
              <w:spacing w:before="0" w:after="283"/>
              <w:jc w:val="right"/>
              <w:rPr/>
            </w:pPr>
            <w:r>
              <w:rPr/>
              <w:t>1,417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35" w:type="dxa"/>
            </w:tcMar>
            <w:vAlign w:val="center"/>
          </w:tcPr>
          <w:p>
            <w:pPr>
              <w:pStyle w:val="TableContents"/>
              <w:bidi w:val="0"/>
              <w:spacing w:before="0" w:after="283"/>
              <w:jc w:val="right"/>
              <w:rPr/>
            </w:pPr>
            <w:r>
              <w:rPr/>
              <w:t>163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16" w:type="dxa"/>
            <w:tcBorders>
              <w:bottom w:val="double" w:sz="8" w:space="0" w:color="000000"/>
            </w:tcBorders>
            <w:tcMar>
              <w:bottom w:w="35" w:type="dxa"/>
            </w:tcMar>
            <w:vAlign w:val="center"/>
          </w:tcPr>
          <w:p>
            <w:pPr>
              <w:pStyle w:val="TableContents"/>
              <w:bidi w:val="0"/>
              <w:spacing w:before="0" w:after="283"/>
              <w:jc w:val="right"/>
              <w:rPr/>
            </w:pPr>
            <w:r>
              <w:rPr/>
              <w:t>(27,836)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16" w:type="dxa"/>
            <w:tcBorders>
              <w:bottom w:val="double" w:sz="8" w:space="0" w:color="000000"/>
            </w:tcBorders>
            <w:tcMar>
              <w:bottom w:w="35" w:type="dxa"/>
            </w:tcMar>
            <w:vAlign w:val="center"/>
          </w:tcPr>
          <w:p>
            <w:pPr>
              <w:pStyle w:val="TableContents"/>
              <w:bidi w:val="0"/>
              <w:spacing w:before="0" w:after="283"/>
              <w:jc w:val="right"/>
              <w:rPr/>
            </w:pPr>
            <w:r>
              <w:rPr/>
              <w:t>(58,505)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16" w:type="dxa"/>
            <w:tcBorders>
              <w:bottom w:val="double" w:sz="8" w:space="0" w:color="000000"/>
            </w:tcBorders>
            <w:tcMar>
              <w:bottom w:w="35" w:type="dxa"/>
            </w:tcMar>
            <w:vAlign w:val="center"/>
          </w:tcPr>
          <w:p>
            <w:pPr>
              <w:pStyle w:val="TableContents"/>
              <w:bidi w:val="0"/>
              <w:spacing w:before="0" w:after="283"/>
              <w:jc w:val="right"/>
              <w:rPr/>
            </w:pPr>
            <w:r>
              <w:rPr/>
              <w:t>(30,669)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Collaboration Revenue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collaboration revenues (in thousands):</w:t>
      </w:r>
      <w:r>
        <w:rPr>
          <w:rFonts w:ascii="Helvetica;Arial;sans-serif" w:hAnsi="Helvetica;Arial;sans-serif"/>
          <w:b w:val="false"/>
          <w:i w:val="false"/>
          <w:caps w:val="false"/>
          <w:smallCaps w:val="false"/>
          <w:color w:val="000000"/>
          <w:spacing w:val="4"/>
          <w:sz w:val="20"/>
        </w:rPr>
        <w:t xml:space="preserve"> </w:t>
      </w:r>
    </w:p>
    <w:tbl>
      <w:tblPr>
        <w:tblW w:w="8742" w:type="dxa"/>
        <w:jc w:val="left"/>
        <w:tblInd w:w="1393" w:type="dxa"/>
        <w:tblLayout w:type="fixed"/>
        <w:tblCellMar>
          <w:top w:w="0" w:type="dxa"/>
          <w:left w:w="0" w:type="dxa"/>
          <w:bottom w:w="28" w:type="dxa"/>
          <w:right w:w="0" w:type="dxa"/>
        </w:tblCellMar>
      </w:tblPr>
      <w:tblGrid>
        <w:gridCol w:w="4424"/>
        <w:gridCol w:w="109"/>
        <w:gridCol w:w="109"/>
        <w:gridCol w:w="109"/>
        <w:gridCol w:w="226"/>
        <w:gridCol w:w="646"/>
        <w:gridCol w:w="109"/>
        <w:gridCol w:w="109"/>
        <w:gridCol w:w="109"/>
        <w:gridCol w:w="109"/>
        <w:gridCol w:w="226"/>
        <w:gridCol w:w="766"/>
        <w:gridCol w:w="109"/>
        <w:gridCol w:w="109"/>
        <w:gridCol w:w="109"/>
        <w:gridCol w:w="109"/>
        <w:gridCol w:w="226"/>
        <w:gridCol w:w="766"/>
        <w:gridCol w:w="109"/>
        <w:gridCol w:w="154"/>
      </w:tblGrid>
      <w:tr>
        <w:trPr/>
        <w:tc>
          <w:tcPr>
            <w:tcW w:w="44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24" w:type="dxa"/>
            <w:tcBorders/>
            <w:shd w:fill="CCEEFF" w:val="clear"/>
            <w:tcMar>
              <w:bottom w:w="0" w:type="dxa"/>
            </w:tcMar>
            <w:vAlign w:val="center"/>
          </w:tcPr>
          <w:p>
            <w:pPr>
              <w:pStyle w:val="TableContents"/>
              <w:bidi w:val="0"/>
              <w:spacing w:before="0" w:after="0"/>
              <w:jc w:val="left"/>
              <w:rPr>
                <w:spacing w:val="-2"/>
              </w:rPr>
            </w:pPr>
            <w:r>
              <w:rPr>
                <w:spacing w:val="-2"/>
              </w:rPr>
              <w:t xml:space="preserve">Revenue recognized from B+L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2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Revenue recognized from Biogen Agreement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6,439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6,439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24" w:type="dxa"/>
            <w:tcBorders/>
            <w:shd w:fill="CCEEFF" w:val="clear"/>
            <w:tcMar>
              <w:bottom w:w="0" w:type="dxa"/>
            </w:tcMar>
            <w:vAlign w:val="center"/>
          </w:tcPr>
          <w:p>
            <w:pPr>
              <w:pStyle w:val="TableContents"/>
              <w:bidi w:val="0"/>
              <w:spacing w:before="0" w:after="0"/>
              <w:jc w:val="left"/>
              <w:rPr>
                <w:spacing w:val="-2"/>
              </w:rPr>
            </w:pPr>
            <w:r>
              <w:rPr>
                <w:spacing w:val="-2"/>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13,562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10,784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collaboration revenue increased by $10.8 million, from $2.8 million for the year ended December 31, 2024 to $13.6 million for the year ended December 31, 2025. The increase was attributed to $6.4 million from the Biogen Agreement, which was executed during 2025, and an increase of $4.3 million pursuant to the B+L Agreement as we continued to perform research and development activities since its execution in July 2024.</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Research and Development Expenses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research and development expenses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374"/>
        <w:gridCol w:w="109"/>
        <w:gridCol w:w="109"/>
        <w:gridCol w:w="109"/>
        <w:gridCol w:w="226"/>
        <w:gridCol w:w="766"/>
        <w:gridCol w:w="109"/>
        <w:gridCol w:w="109"/>
        <w:gridCol w:w="109"/>
        <w:gridCol w:w="109"/>
        <w:gridCol w:w="226"/>
        <w:gridCol w:w="766"/>
        <w:gridCol w:w="109"/>
        <w:gridCol w:w="109"/>
        <w:gridCol w:w="109"/>
        <w:gridCol w:w="109"/>
        <w:gridCol w:w="226"/>
        <w:gridCol w:w="766"/>
        <w:gridCol w:w="109"/>
        <w:gridCol w:w="154"/>
      </w:tblGrid>
      <w:tr>
        <w:trPr/>
        <w:tc>
          <w:tcPr>
            <w:tcW w:w="43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283"/>
              <w:jc w:val="left"/>
              <w:rPr>
                <w:spacing w:val="-2"/>
              </w:rPr>
            </w:pPr>
            <w:r>
              <w:rPr>
                <w:spacing w:val="-2"/>
              </w:rPr>
              <w:t xml:space="preserve">Direct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CITY-FXI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5,694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12,161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6,467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CITY-RBP4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CITY-TFR2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0"/>
              <w:ind w:left="200" w:right="0" w:hanging="0"/>
              <w:jc w:val="left"/>
              <w:rPr>
                <w:spacing w:val="-2"/>
              </w:rPr>
            </w:pPr>
            <w:r>
              <w:rPr>
                <w:spacing w:val="-2"/>
              </w:rPr>
              <w:t xml:space="preserve">CNS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283"/>
              <w:jc w:val="left"/>
              <w:rPr>
                <w:spacing w:val="-2"/>
              </w:rPr>
            </w:pPr>
            <w:r>
              <w:rPr>
                <w:spacing w:val="-2"/>
              </w:rPr>
              <w:t xml:space="preserve">Indirect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tcMar>
              <w:bottom w:w="0" w:type="dxa"/>
            </w:tcMar>
            <w:vAlign w:val="center"/>
          </w:tcPr>
          <w:p>
            <w:pPr>
              <w:pStyle w:val="TableContents"/>
              <w:bidi w:val="0"/>
              <w:spacing w:before="0" w:after="0"/>
              <w:ind w:left="200" w:right="0" w:hanging="0"/>
              <w:jc w:val="left"/>
              <w:rPr>
                <w:spacing w:val="-2"/>
              </w:rPr>
            </w:pPr>
            <w:r>
              <w:rPr>
                <w:spacing w:val="-2"/>
              </w:rPr>
              <w:t xml:space="preserve">Personnel-related expenses (excluding 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4,938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4"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Other indirect research and development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9,361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19,438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10,077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74" w:type="dxa"/>
            <w:tcBorders/>
            <w:shd w:fill="CCEEFF" w:val="clear"/>
            <w:tcMar>
              <w:bottom w:w="0" w:type="dxa"/>
            </w:tcMar>
            <w:vAlign w:val="center"/>
          </w:tcPr>
          <w:p>
            <w:pPr>
              <w:pStyle w:val="TableContents"/>
              <w:bidi w:val="0"/>
              <w:spacing w:before="0" w:after="0"/>
              <w:jc w:val="left"/>
              <w:rPr>
                <w:spacing w:val="-2"/>
              </w:rPr>
            </w:pPr>
            <w:r>
              <w:rPr>
                <w:spacing w:val="-2"/>
              </w:rPr>
              <w:t xml:space="preserve">Total research and development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25,682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58,420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32,738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and development expenses increased by $32.7 million, from $25.7 million for the year ended December 31, 2024 to $58.4 million for the year ended December 31, 2025. The increase in research and development expenses reflects continued advancement of multiple pipeline programs from discovery into IND- and IND-equivalent-enabling development and clinical-stage activities, expansion of our collaboration programs, and continued investment in our platform and research infrastructure: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$6.5 million of increased costs associated with our lead program, CITY-FXI, which was primarily due to IND or IND-equivalent and CMC costs such as chemistry, manufacturing and controls, drug substance and drug product manufacturing, as well as nonclinical and toxicology studies and clinical readiness costs ahead of the filing of the IND or IND-equivalent application submission towards the clinic;</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326">
                <wp:simplePos x="0" y="0"/>
                <wp:positionH relativeFrom="column">
                  <wp:align>left</wp:align>
                </wp:positionH>
                <wp:positionV relativeFrom="line">
                  <wp:align>top</wp:align>
                </wp:positionV>
                <wp:extent cx="2540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$4.1 million of increased costs associated with CITY-RBP4, which was attributed to increased preclinical and IND or IND-equivalent-enabling activities such as nonclinical pharmacology and toxicology studies, chemistry, manufacturing and controls activities, drug-metabolism and pharmacokinetics studies, as we advanced CITY-RBP4 toward a planned IND or IND-equivalent application filing;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 million of increased costs associated with our CITY-TFR2 program, which was primarily due to increased preclinical research and discovery activities as we advanced our CITY-TFR2 program;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28">
                <wp:simplePos x="0" y="0"/>
                <wp:positionH relativeFrom="column">
                  <wp:align>left</wp:align>
                </wp:positionH>
                <wp:positionV relativeFrom="line">
                  <wp:posOffset>635</wp:posOffset>
                </wp:positionV>
                <wp:extent cx="2540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 million of increased costs associated with research activities performed under the B+L Agreement, which was executed in July 2024;</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9">
                <wp:simplePos x="0" y="0"/>
                <wp:positionH relativeFrom="column">
                  <wp:align>left</wp:align>
                </wp:positionH>
                <wp:positionV relativeFrom="line">
                  <wp:align>top</wp:align>
                </wp:positionV>
                <wp:extent cx="2540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$2.5 million of increased costs associated with research activities performed under the Biogen Agreement, which was executed in May 2025;</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0">
                <wp:simplePos x="0" y="0"/>
                <wp:positionH relativeFrom="column">
                  <wp:align>left</wp:align>
                </wp:positionH>
                <wp:positionV relativeFrom="line">
                  <wp:align>top</wp:align>
                </wp:positionV>
                <wp:extent cx="254000" cy="350520"/>
                <wp:effectExtent l="0" t="0" r="0" b="0"/>
                <wp:wrapSquare wrapText="right"/>
                <wp:docPr id="308" name="Frame3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$5.6 million of increased employee compensation expense (excluding stock-based compensation) primarily due to increased research and development headcount to support our growing pipeline and platform activities;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1">
                <wp:simplePos x="0" y="0"/>
                <wp:positionH relativeFrom="column">
                  <wp:align>left</wp:align>
                </wp:positionH>
                <wp:positionV relativeFrom="line">
                  <wp:align>top</wp:align>
                </wp:positionV>
                <wp:extent cx="254000" cy="350520"/>
                <wp:effectExtent l="0" t="0" r="0" b="0"/>
                <wp:wrapSquare wrapText="right"/>
                <wp:docPr id="309" name="Frame3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$0.5 million of increased stock-based compensation expense primarily due to additional equity awards granted under our 2023 Plan;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254000" cy="350520"/>
                <wp:effectExtent l="0" t="0" r="0" b="0"/>
                <wp:wrapSquare wrapText="right"/>
                <wp:docPr id="310" name="Frame3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$10.0 million of increased costs associated with other indirect research and development costs, which primarily included (i) $2.9 million increase in facilities and depreciation costs associated with the expanded lease for our Cambridge, Massachusetts office and laboratory space, (ii) a $2.3 million increase in equipment and laboratory supplies, (iii) a $2.3 million increase in overhead and indirect costs to support our growing platform, pipeline and research and development activities, and (iv) a $2.0 million increase in outside research and consulting costs.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3">
                <wp:simplePos x="0" y="0"/>
                <wp:positionH relativeFrom="column">
                  <wp:align>left</wp:align>
                </wp:positionH>
                <wp:positionV relativeFrom="line">
                  <wp:align>top</wp:align>
                </wp:positionV>
                <wp:extent cx="254000" cy="350520"/>
                <wp:effectExtent l="0" t="0" r="0" b="0"/>
                <wp:wrapSquare wrapText="right"/>
                <wp:docPr id="311" name="Frame3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General and Administrative Expenses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general and administrative expenses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614"/>
        <w:gridCol w:w="109"/>
        <w:gridCol w:w="109"/>
        <w:gridCol w:w="109"/>
        <w:gridCol w:w="226"/>
        <w:gridCol w:w="646"/>
        <w:gridCol w:w="109"/>
        <w:gridCol w:w="109"/>
        <w:gridCol w:w="109"/>
        <w:gridCol w:w="109"/>
        <w:gridCol w:w="226"/>
        <w:gridCol w:w="766"/>
        <w:gridCol w:w="109"/>
        <w:gridCol w:w="109"/>
        <w:gridCol w:w="109"/>
        <w:gridCol w:w="109"/>
        <w:gridCol w:w="226"/>
        <w:gridCol w:w="646"/>
        <w:gridCol w:w="109"/>
        <w:gridCol w:w="154"/>
      </w:tblGrid>
      <w:tr>
        <w:trPr/>
        <w:tc>
          <w:tcPr>
            <w:tcW w:w="46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14" w:type="dxa"/>
            <w:tcBorders/>
            <w:shd w:fill="CCEEFF" w:val="clear"/>
            <w:tcMar>
              <w:bottom w:w="0" w:type="dxa"/>
            </w:tcMar>
            <w:vAlign w:val="center"/>
          </w:tcPr>
          <w:p>
            <w:pPr>
              <w:pStyle w:val="TableContents"/>
              <w:bidi w:val="0"/>
              <w:spacing w:before="0" w:after="0"/>
              <w:jc w:val="left"/>
              <w:rPr>
                <w:spacing w:val="-2"/>
              </w:rPr>
            </w:pPr>
            <w:r>
              <w:rPr>
                <w:spacing w:val="-2"/>
              </w:rPr>
              <w:t xml:space="preserve">Employee compensation (excluding 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3,907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14" w:type="dxa"/>
            <w:tcBorders/>
            <w:tcMar>
              <w:bottom w:w="0" w:type="dxa"/>
            </w:tcMar>
            <w:vAlign w:val="center"/>
          </w:tcPr>
          <w:p>
            <w:pPr>
              <w:pStyle w:val="TableContents"/>
              <w:bidi w:val="0"/>
              <w:spacing w:before="0" w:after="0"/>
              <w:jc w:val="left"/>
              <w:rPr>
                <w:spacing w:val="-2"/>
              </w:rPr>
            </w:pPr>
            <w:r>
              <w:rPr>
                <w:spacing w:val="-2"/>
              </w:rPr>
              <w:t xml:space="preserve">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14"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Other general and administrative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4,429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9,115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4,686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14" w:type="dxa"/>
            <w:tcBorders/>
            <w:tcMar>
              <w:bottom w:w="0" w:type="dxa"/>
            </w:tcMar>
            <w:vAlign w:val="center"/>
          </w:tcPr>
          <w:p>
            <w:pPr>
              <w:pStyle w:val="TableContents"/>
              <w:bidi w:val="0"/>
              <w:spacing w:before="0" w:after="0"/>
              <w:jc w:val="left"/>
              <w:rPr>
                <w:spacing w:val="-2"/>
              </w:rPr>
            </w:pPr>
            <w:r>
              <w:rPr>
                <w:spacing w:val="-2"/>
              </w:rPr>
              <w:t xml:space="preserve">Total general and administrative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6,186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15,064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8,878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 and administrative expenses increased by $8.9 million, from $6.2 million for the year ended December 31, 2024 to $15.1 million for the year ended December 31, 2025. The increase in general and administrative expenses was primarily attributable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$2.7 million of increased employee compensation expense (excluding stock-based compensation) primarily due to increased general and administrative headcount to support our operations;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254000" cy="350520"/>
                <wp:effectExtent l="0" t="0" r="0" b="0"/>
                <wp:wrapSquare wrapText="right"/>
                <wp:docPr id="312" name="Frame3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 million of increased stock-based compensation expense primarily due to additional equity awards granted under our 2023 Plan;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5">
                <wp:simplePos x="0" y="0"/>
                <wp:positionH relativeFrom="column">
                  <wp:align>left</wp:align>
                </wp:positionH>
                <wp:positionV relativeFrom="line">
                  <wp:align>top</wp:align>
                </wp:positionV>
                <wp:extent cx="254000" cy="350520"/>
                <wp:effectExtent l="0" t="0" r="0" b="0"/>
                <wp:wrapSquare wrapText="right"/>
                <wp:docPr id="313" name="Frame3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$4.7 million of increased other general and administrative expenses primarily due to increased professional fees, facilities, depreciation, information technology and other general and administrative costs that are not personnel-related.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36">
                <wp:simplePos x="0" y="0"/>
                <wp:positionH relativeFrom="column">
                  <wp:align>left</wp:align>
                </wp:positionH>
                <wp:positionV relativeFrom="line">
                  <wp:align>top</wp:align>
                </wp:positionV>
                <wp:extent cx="254000" cy="350520"/>
                <wp:effectExtent l="0" t="0" r="0" b="0"/>
                <wp:wrapSquare wrapText="right"/>
                <wp:docPr id="314" name="Frame3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Total Other Income, Net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Total other income, net increased by $0.2 million, from $1.2 million for the year ended December 31, 2024 to $1.4 million for the year ended December 31, 2025. Interest income increased by $1.8 million primarily due to higher cash and cash equivalents balances following the closing of additional Series A convertible preferred stock issuances. This increase was substantially offset by an increase of $1.8 million in interest expense recognized on our Biogen Note and B+L Note, which was accounted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fair value option. Other expense, net, decreased by $0.2 million, which included changes in the fair value of such convertible notes recorded through earnings and offset by the gain recorded for our lease modification.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Liquidity and Capital Resources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Sources of Liquidity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incurred net losses and negative cash flows from operations since our inception and anticipate we will continue to incur net losses for the foreseeable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our inception in July 2023, we have funded our operations primarily through (i) proceeds from sales of our convertible preferred stock, (ii) proceeds from issuances of convertible notes to our collaboration partners, and (iii) upfront and milestone payments under our research collaboration and license agreements with Bausch + Lomb and Biogen. As of December 31, 2025, we had cash, cash equivalents and restricted cash of $115.3 million and an accumulated deficit of $89.1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Cash Flows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provides information regarding our cash flows for the periods presented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524"/>
        <w:gridCol w:w="109"/>
        <w:gridCol w:w="109"/>
        <w:gridCol w:w="109"/>
        <w:gridCol w:w="226"/>
        <w:gridCol w:w="909"/>
        <w:gridCol w:w="109"/>
        <w:gridCol w:w="109"/>
        <w:gridCol w:w="109"/>
        <w:gridCol w:w="109"/>
        <w:gridCol w:w="226"/>
        <w:gridCol w:w="900"/>
        <w:gridCol w:w="109"/>
        <w:gridCol w:w="155"/>
      </w:tblGrid>
      <w:tr>
        <w:trPr/>
        <w:tc>
          <w:tcPr>
            <w:tcW w:w="55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15"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For the year ended </w:t>
            </w:r>
            <w:r>
              <w:rPr/>
              <w:br/>
            </w:r>
            <w:r>
              <w:rPr>
                <w:spacing w:val="-2"/>
              </w:rPr>
              <w:t xml:space="preserve">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24" w:type="dxa"/>
            <w:tcBorders/>
            <w:shd w:fill="CCEEFF" w:val="clear"/>
            <w:tcMar>
              <w:bottom w:w="0" w:type="dxa"/>
            </w:tcMar>
            <w:vAlign w:val="center"/>
          </w:tcPr>
          <w:p>
            <w:pPr>
              <w:pStyle w:val="TableContents"/>
              <w:bidi w:val="0"/>
              <w:spacing w:before="0" w:after="0"/>
              <w:jc w:val="left"/>
              <w:rPr>
                <w:spacing w:val="-2"/>
              </w:rPr>
            </w:pPr>
            <w:r>
              <w:rPr>
                <w:spacing w:val="-2"/>
              </w:rPr>
              <w:t xml:space="preserve">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(20,391)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0" w:type="dxa"/>
            <w:tcBorders/>
            <w:shd w:fill="CCEEFF" w:val="clear"/>
            <w:tcMar>
              <w:bottom w:w="0" w:type="dxa"/>
            </w:tcMar>
            <w:vAlign w:val="center"/>
          </w:tcPr>
          <w:p>
            <w:pPr>
              <w:pStyle w:val="TableContents"/>
              <w:bidi w:val="0"/>
              <w:spacing w:before="0" w:after="283"/>
              <w:jc w:val="right"/>
              <w:rPr/>
            </w:pPr>
            <w:r>
              <w:rPr/>
              <w:t>(41,611)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4" w:type="dxa"/>
            <w:tcBorders/>
            <w:tcMar>
              <w:bottom w:w="0" w:type="dxa"/>
            </w:tcMar>
            <w:vAlign w:val="center"/>
          </w:tcPr>
          <w:p>
            <w:pPr>
              <w:pStyle w:val="TableContents"/>
              <w:bidi w:val="0"/>
              <w:spacing w:before="0" w:after="0"/>
              <w:jc w:val="left"/>
              <w:rPr>
                <w:spacing w:val="-2"/>
              </w:rPr>
            </w:pPr>
            <w:r>
              <w:rPr>
                <w:spacing w:val="-2"/>
              </w:rPr>
              <w:t xml:space="preserve">Net cash used in investing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(3,379)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0" w:type="dxa"/>
            <w:tcBorders/>
            <w:tcMar>
              <w:bottom w:w="0" w:type="dxa"/>
            </w:tcMar>
            <w:vAlign w:val="center"/>
          </w:tcPr>
          <w:p>
            <w:pPr>
              <w:pStyle w:val="TableContents"/>
              <w:bidi w:val="0"/>
              <w:spacing w:before="0" w:after="283"/>
              <w:jc w:val="right"/>
              <w:rPr/>
            </w:pPr>
            <w:r>
              <w:rPr/>
              <w:t>(2,378)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24"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Net cash provided by financing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50" w:type="dxa"/>
            </w:tcMar>
            <w:vAlign w:val="center"/>
          </w:tcPr>
          <w:p>
            <w:pPr>
              <w:pStyle w:val="TableContents"/>
              <w:bidi w:val="0"/>
              <w:spacing w:before="0" w:after="283"/>
              <w:jc w:val="right"/>
              <w:rPr/>
            </w:pPr>
            <w:r>
              <w:rPr/>
              <w:t>149,438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0" w:type="dxa"/>
            <w:tcBorders>
              <w:bottom w:val="single" w:sz="2" w:space="0" w:color="000000"/>
            </w:tcBorders>
            <w:shd w:fill="CCEEFF" w:val="clear"/>
            <w:tcMar>
              <w:bottom w:w="50" w:type="dxa"/>
            </w:tcMar>
            <w:vAlign w:val="center"/>
          </w:tcPr>
          <w:p>
            <w:pPr>
              <w:pStyle w:val="TableContents"/>
              <w:bidi w:val="0"/>
              <w:spacing w:before="0" w:after="283"/>
              <w:jc w:val="right"/>
              <w:rPr/>
            </w:pPr>
            <w:r>
              <w:rPr/>
              <w:t>30,859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4" w:type="dxa"/>
            <w:tcBorders/>
            <w:tcMar>
              <w:bottom w:w="0" w:type="dxa"/>
            </w:tcMar>
            <w:vAlign w:val="center"/>
          </w:tcPr>
          <w:p>
            <w:pPr>
              <w:pStyle w:val="TableContents"/>
              <w:bidi w:val="0"/>
              <w:spacing w:before="0" w:after="0"/>
              <w:jc w:val="left"/>
              <w:rPr/>
            </w:pPr>
            <w:r>
              <w:rPr>
                <w:spacing w:val="-2"/>
              </w:rPr>
              <w:t>Net increase (decrease) in cash, cash equivalents, and restricted cash</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09" w:type="dxa"/>
            <w:tcBorders>
              <w:bottom w:val="double" w:sz="8" w:space="0" w:color="000000"/>
            </w:tcBorders>
            <w:tcMar>
              <w:bottom w:w="50" w:type="dxa"/>
            </w:tcMar>
            <w:vAlign w:val="center"/>
          </w:tcPr>
          <w:p>
            <w:pPr>
              <w:pStyle w:val="TableContents"/>
              <w:bidi w:val="0"/>
              <w:spacing w:before="0" w:after="283"/>
              <w:jc w:val="right"/>
              <w:rPr/>
            </w:pPr>
            <w:r>
              <w:rPr/>
              <w:t>125,668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00" w:type="dxa"/>
            <w:tcBorders>
              <w:bottom w:val="double" w:sz="8" w:space="0" w:color="000000"/>
            </w:tcBorders>
            <w:tcMar>
              <w:bottom w:w="50" w:type="dxa"/>
            </w:tcMar>
            <w:vAlign w:val="center"/>
          </w:tcPr>
          <w:p>
            <w:pPr>
              <w:pStyle w:val="TableContents"/>
              <w:bidi w:val="0"/>
              <w:spacing w:before="0" w:after="283"/>
              <w:jc w:val="right"/>
              <w:rPr/>
            </w:pPr>
            <w:r>
              <w:rPr/>
              <w:t>(13,130)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Cash, cash equivalents, and restricted cash include restricted cash of $1.5 million and $2.5 million as of December 31, 2024 and 2025, respectively.</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6360" distB="0" distL="0" distR="0" simplePos="0" locked="0" layoutInCell="1" allowOverlap="1" relativeHeight="337">
                <wp:simplePos x="0" y="0"/>
                <wp:positionH relativeFrom="column">
                  <wp:align>left</wp:align>
                </wp:positionH>
                <wp:positionV relativeFrom="line">
                  <wp:align>top</wp:align>
                </wp:positionV>
                <wp:extent cx="254000" cy="233680"/>
                <wp:effectExtent l="0" t="0" r="0" b="0"/>
                <wp:wrapSquare wrapText="right"/>
                <wp:docPr id="315" name="Frame31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Net Cash Used in Operating Activities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cash used in operating activities was $20.4 million for the year ended December 31, 2024, compared to $41.6 million for the year ended December 31, 2025. The increase in cash used in operating activities was primarily attributable to our higher net loss, which increased by $30.7 million year-over-year, principally driven by increased research and development activities and headcount, and increases in prepaid expenses and other current assets, due to timing. This increase was partially offset by changes in our operating assets and liabilities, including an increase in deferred revenue from our collaboration arrangements driven by timing.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Net Cash Used in Investing Activities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cash used in investing activities was $3.4 million for the year ended December 31, 2024, compared to $2.4 million for the year ended December 31, 2025. In both periods, cash used in investing activities consisted primarily of purchases of property and equipment, laboratory equipment and leasehold improvements at our Cambridge, Massachusetts facilities, partially offset by minimal proceeds from sales of property and equipment. The decrease of $1.0 million was primarily attributable to a $1.1 million reduction in purchases of property and equipment.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Net Cash Provided by Financing Activities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Net cash provided by financing activities was $149.4 million for the year ended December 31, 2024, primarily consisting of $134.7 million in gross proceeds from the issuance of our Series A convertible preferred stock and $15.0 million in gross proceeds from issuances of convertible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(including the B+L Note and the Original Notes that converted into Series A convertible preferred stock), partially offset by $0.3 million in offering costs. Net cash provided by financing activities was $30.9 million for the year ended December 31, 2025, primarily consisting of $30.0 million in gross proceeds from the issuance of the Biogen Note in May 2025 and $0.9 million in proceeds from exercises of stock options.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Future Funding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2025, we had cash, cash equivalents, and restricted cash of $115.3 million. We expect that our cash and cash equivalents as of December 31, 2025, together with the $99.5 million in gross proceeds from our Series B convertible preferred stock issuance in May and June 2026, will be sufficient to fund our operating expenses and capital expenditure requirements through at least 12 months from the date our consolidated financial statements were available to be issued.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based on our current operating plan, that the net proceeds from this offering, together with our existing cash and cash equivalents, will enable us to fund our planned operating expenses and capital expenditure requirements into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Due to the inherently unpredictable nature of preclinical and clinical development and given the early stage of our programs and product candidates, we cannot reasonably estimate the costs we will incur and the timelines that will be required to complete development, obtain any marketing approval, and commercialize our products, if and when approved.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products, if approved, may be subject to future collaborations, when such arrangements will be secured, if at all, and to what degree such arrangements would affect our development plans and capital requirements. We will need to raise substantial additional capital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primary uses of capital are to fund research and development activities, compensation and related expenses, and general overhead costs. We expect our expenses to increase substantially in connection with our ongoing activities, particularly as we advance our current and future product candidates through discovery, preclinical studies, and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funding requirements and timing and amount of our operating expenditures will depend on many factors,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scope, timing, progress, costs, and results of discovery, preclinical development and clinical trials for our current or future product candidates and effectiveness of our platform;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38">
                <wp:simplePos x="0" y="0"/>
                <wp:positionH relativeFrom="column">
                  <wp:align>left</wp:align>
                </wp:positionH>
                <wp:positionV relativeFrom="line">
                  <wp:align>top</wp:align>
                </wp:positionV>
                <wp:extent cx="254000" cy="350520"/>
                <wp:effectExtent l="0" t="0" r="0" b="0"/>
                <wp:wrapSquare wrapText="right"/>
                <wp:docPr id="316" name="Frame3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of clinical trials required for regulatory approval of our current or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39">
                <wp:simplePos x="0" y="0"/>
                <wp:positionH relativeFrom="column">
                  <wp:align>left</wp:align>
                </wp:positionH>
                <wp:positionV relativeFrom="line">
                  <wp:align>top</wp:align>
                </wp:positionV>
                <wp:extent cx="254000" cy="350520"/>
                <wp:effectExtent l="0" t="0" r="0" b="0"/>
                <wp:wrapSquare wrapText="right"/>
                <wp:docPr id="317" name="Frame3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timing, and outcome of regulatory review of any of our current or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0">
                <wp:simplePos x="0" y="0"/>
                <wp:positionH relativeFrom="column">
                  <wp:align>left</wp:align>
                </wp:positionH>
                <wp:positionV relativeFrom="line">
                  <wp:align>top</wp:align>
                </wp:positionV>
                <wp:extent cx="254000" cy="350520"/>
                <wp:effectExtent l="0" t="0" r="0" b="0"/>
                <wp:wrapSquare wrapText="right"/>
                <wp:docPr id="318" name="Frame3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associated with acquiring or licensing additional product candidates, technologies or assets, including the timing and amount of any milestones, royalties, or other payments due in connection with our acquisitions and licenses, as applicable;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1">
                <wp:simplePos x="0" y="0"/>
                <wp:positionH relativeFrom="column">
                  <wp:align>left</wp:align>
                </wp:positionH>
                <wp:positionV relativeFrom="line">
                  <wp:align>top</wp:align>
                </wp:positionV>
                <wp:extent cx="254000" cy="350520"/>
                <wp:effectExtent l="0" t="0" r="0" b="0"/>
                <wp:wrapSquare wrapText="right"/>
                <wp:docPr id="319" name="Frame3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 of manufacturing clinical and commercial supplies of our current or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2">
                <wp:simplePos x="0" y="0"/>
                <wp:positionH relativeFrom="column">
                  <wp:align>left</wp:align>
                </wp:positionH>
                <wp:positionV relativeFrom="line">
                  <wp:align>top</wp:align>
                </wp:positionV>
                <wp:extent cx="254000" cy="350520"/>
                <wp:effectExtent l="0" t="0" r="0" b="0"/>
                <wp:wrapSquare wrapText="right"/>
                <wp:docPr id="320" name="Frame3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3">
                <wp:simplePos x="0" y="0"/>
                <wp:positionH relativeFrom="column">
                  <wp:align>left</wp:align>
                </wp:positionH>
                <wp:positionV relativeFrom="line">
                  <wp:align>top</wp:align>
                </wp:positionV>
                <wp:extent cx="254000" cy="350520"/>
                <wp:effectExtent l="0" t="0" r="0" b="0"/>
                <wp:wrapSquare wrapText="right"/>
                <wp:docPr id="321"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ability to establish new, and maintain existing, strategic collaborations, licensing or other arrangements on favorable terms, if at all, and the financial terms of any such agreements, including the timing and amount of any future milestone, royalty or other payments due to or </w:t>
      </w:r>
      <w:r>
        <mc:AlternateContent>
          <mc:Choice Requires="wps">
            <w:drawing>
              <wp:anchor behindDoc="0" distT="74930" distB="0" distL="254000" distR="0" simplePos="0" locked="0" layoutInCell="1" allowOverlap="1" relativeHeight="344">
                <wp:simplePos x="0" y="0"/>
                <wp:positionH relativeFrom="column">
                  <wp:align>left</wp:align>
                </wp:positionH>
                <wp:positionV relativeFrom="line">
                  <wp:align>top</wp:align>
                </wp:positionV>
                <wp:extent cx="254000" cy="350520"/>
                <wp:effectExtent l="0" t="0" r="0" b="0"/>
                <wp:wrapSquare wrapText="right"/>
                <wp:docPr id="322" name="Frame3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payable by us thereunder and the extent to which we are obligated to reimburse, or entitled to reimbursement of, clinical trial costs under any such agreements;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and timing of future commercialization activities, including manufacturing, marketing, sales, and distribution, for any of our product candidates for which we receive marketing approval;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5">
                <wp:simplePos x="0" y="0"/>
                <wp:positionH relativeFrom="column">
                  <wp:align>left</wp:align>
                </wp:positionH>
                <wp:positionV relativeFrom="line">
                  <wp:align>top</wp:align>
                </wp:positionV>
                <wp:extent cx="254000" cy="350520"/>
                <wp:effectExtent l="0" t="0" r="0" b="0"/>
                <wp:wrapSquare wrapText="right"/>
                <wp:docPr id="323" name="Frame3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revenue, if any, received from commercial sales of our product candidates for which we receive marketing approval;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6">
                <wp:simplePos x="0" y="0"/>
                <wp:positionH relativeFrom="column">
                  <wp:align>left</wp:align>
                </wp:positionH>
                <wp:positionV relativeFrom="line">
                  <wp:align>top</wp:align>
                </wp:positionV>
                <wp:extent cx="254000" cy="350520"/>
                <wp:effectExtent l="0" t="0" r="0" b="0"/>
                <wp:wrapSquare wrapText="right"/>
                <wp:docPr id="324" name="Frame3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expenses to attract, hire, and retain skilled personnel;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7">
                <wp:simplePos x="0" y="0"/>
                <wp:positionH relativeFrom="column">
                  <wp:align>left</wp:align>
                </wp:positionH>
                <wp:positionV relativeFrom="line">
                  <wp:align>top</wp:align>
                </wp:positionV>
                <wp:extent cx="254000" cy="350520"/>
                <wp:effectExtent l="0" t="0" r="0" b="0"/>
                <wp:wrapSquare wrapText="right"/>
                <wp:docPr id="325"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of operating as a public company;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8">
                <wp:simplePos x="0" y="0"/>
                <wp:positionH relativeFrom="column">
                  <wp:align>left</wp:align>
                </wp:positionH>
                <wp:positionV relativeFrom="line">
                  <wp:align>top</wp:align>
                </wp:positionV>
                <wp:extent cx="254000" cy="350520"/>
                <wp:effectExtent l="0" t="0" r="0" b="0"/>
                <wp:wrapSquare wrapText="right"/>
                <wp:docPr id="326" name="Frame3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establish a commercially viable pricing structure and obtain approval for coverage and adequate reimbursement from third-party and government payors;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right"/>
                <wp:docPr id="327" name="Frame3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effect of macroeconomic trends including inflation, tariffs, and fluctuating interest rates;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328" name="Frame3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addressing any potential supply chain interruptions or delays;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329" name="Frame3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effect of competing technological and market developments;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2">
                <wp:simplePos x="0" y="0"/>
                <wp:positionH relativeFrom="column">
                  <wp:align>left</wp:align>
                </wp:positionH>
                <wp:positionV relativeFrom="line">
                  <wp:align>top</wp:align>
                </wp:positionV>
                <wp:extent cx="254000" cy="350520"/>
                <wp:effectExtent l="0" t="0" r="0" b="0"/>
                <wp:wrapSquare wrapText="right"/>
                <wp:docPr id="330" name="Frame3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extent to which we acquire or invest in businesses, products, and technologies.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3">
                <wp:simplePos x="0" y="0"/>
                <wp:positionH relativeFrom="column">
                  <wp:align>left</wp:align>
                </wp:positionH>
                <wp:positionV relativeFrom="line">
                  <wp:align>top</wp:align>
                </wp:positionV>
                <wp:extent cx="254000" cy="350520"/>
                <wp:effectExtent l="0" t="0" r="0" b="0"/>
                <wp:wrapSquare wrapText="right"/>
                <wp:docPr id="331" name="Frame3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Until such time, if ever, that we can generate substantial product revenue, we expect to finance our operations through a combination of public and private equity offerings, debt and royalty financings, or other sources of capital, which may include additional collaborations with other companies, or licensing arrangements with third parties, or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or royalty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additional collaborations, strategic alliances, or licensing arrangements with third parties, we may have to relinquish valuable rights to our technologies, future revenue streams, research programs, product candidates, or grant licenses on terms that may not be favorable to us. If we are unable to raise additional capital or obtain adequate funding when needed or on acceptable terms, we may be required to delay, scale back, or discontinue our research, product development, or future commercialization efforts, or grant rights to develop and market product candidates that we would otherwise prefer to develop and market ourselves.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License and Collaboration Agreements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caps w:val="false"/>
          <w:smallCaps w:val="false"/>
          <w:color w:val="000000"/>
          <w:sz w:val="20"/>
        </w:rPr>
      </w:pPr>
      <w:r>
        <w:rPr>
          <w:rFonts w:ascii="Helvetica;Arial;sans-serif" w:hAnsi="Helvetica;Arial;sans-serif"/>
          <w:b w:val="false"/>
          <w:i w:val="false"/>
          <w:caps w:val="false"/>
          <w:smallCaps w:val="false"/>
          <w:color w:val="000000"/>
          <w:spacing w:val="-2"/>
          <w:sz w:val="20"/>
        </w:rPr>
        <w:t>Below is a summary of the key terms for our material license and collaboration agreements. For a more detailed description, see the section of this prospectus titled “</w:t>
      </w:r>
      <w:r>
        <w:rPr>
          <w:rFonts w:ascii="Helvetica;Arial;sans-serif" w:hAnsi="Helvetica;Arial;sans-serif"/>
          <w:b w:val="false"/>
          <w:i/>
          <w:caps w:val="false"/>
          <w:smallCaps w:val="false"/>
          <w:color w:val="000000"/>
          <w:spacing w:val="-2"/>
          <w:sz w:val="20"/>
        </w:rPr>
        <w:t>Business — License and Collaboration Agreements</w:t>
      </w:r>
      <w:r>
        <w:rPr>
          <w:rFonts w:ascii="Helvetica;Arial;sans-serif" w:hAnsi="Helvetica;Arial;sans-serif"/>
          <w:b w:val="false"/>
          <w:i w:val="false"/>
          <w:caps w:val="false"/>
          <w:smallCaps w:val="false"/>
          <w:color w:val="000000"/>
          <w:spacing w:val="-2"/>
          <w:sz w:val="20"/>
        </w:rPr>
        <w:t>,” and Note 9 to our audited consolidated financial statements.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Bausch + Lomb Research Collaboration and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July 8, 2024, we entered into the B+L Agreement with Bausch + Lomb, pursuant to which (i) we agreed to undertake a research program to discover certain licensed molecules which would enable Bausch + Lomb to develop and subsequently commercialize, a licensed product in the field of ocular disease and (ii) we granted Bausch + Lomb an option to obtain an exclusive, worldwide license to certain of our intellectual property to develop, manufacture and commercialize a licensed product in the field of ocular disease. Simultaneously with the execution of the B+L Agreement, we issued a convertible note to Bausch + Lomb in an aggregate principal amount of $10.0 million, bearing interest at 8.0% per annum and maturing on July 8, 2027, unless earlier converted, which subsequently converted into shares of our Series B convertible preferred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B+L Agreement, we will perform specified research activities pursuant to a research plan and deliver to Bausch + Lomb a development candidate for which Bausch + Lomb may exercise its option to license. We plan to substantially complete the research and development under the B+L Agreement by        to enable Bausch + Lomb to select a development candidate by       . If Bausch + Lomb exercises its option, it will engage in the development, manufacturing and commercialization of licensed molecules and licensed products from the development candidate.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B+L Agreement, we received a non-refundable, non-creditable upfront payment of $5.0 million from Bausch + Lomb. Over the course of the research plan, Bausch + Lomb is required to reimburse us for amounts incurred for full-time employees and other related costs and materials directly associated with the research plan. Additionally, we are eligible to receive (i) a certain development candidate selection fee and certain other development, regulatory, commercial and sales milestones, collectively up to an aggregate of $485.0 million, and (ii) tiered royalties ranging from mid-single digits to low double-digits on annual net sales of licensed products, subject to customary reductions and an overall royalty floor. If the agreement terminates and we later successfully commercialize a product candidate using the licensed intellectual property, we are required to pay Bausch + Lomb a low-single digit royalty on future net sales. As of December 31, 2025, no such milestone payments or royalties had become due to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Biogen Research Collaboration and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May 23, 2025, we entered into the Biogen Agreement with Biogen, pursuant to which (i) we and Biogen shall collaborate to undertake a research plan to discover and develop certain RNAi triggers that inhibit the expression of a target protein and conjugates of such RNAi triggers and (ii) we granted Biogen an exclusive, worldwide, royalty-bearing license to certain of our intellectual property to develop, manufacture and commercialize licensed compounds and licensed products in the field in the territory. Simultaneously with the execution of the Biogen Agreement, we issued a convertible note to Biogen in an aggregate principal amount of $30.0 million, bearing interest at 8.0% per annum and maturing on July 1, 2027, unless earlier converted.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Biogen Agreement, we will perform research activities and deliver to Biogen data packages and technology transfers to enable Biogen to select and advance a development candidate, for which Biogen may exercise its rights under the license. We plan to substantially complete the research and development under the Biogen Agreement by          to enable Biogen to select a development candidate by        . If Biogen selects a development candidate, it will control the development, manufacturing and commercialization of licensed compounds and licensed products. Each party is responsible for its own research costs under the agreement. We also granted Biogen an option, exercisable during a specified period and upon specified terms, to designate one additional target, subject to execution of a separate collaboration and license agreement on substantially the same terms and an additional payment of a specified option exercise fee.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Biogen Agreement, we received a non-refundable, non-creditable upfront payment of $16.0 million from Biogen. We are also eligible to receive an additional non-refundable upfront payment contingent upon the satisfaction of certain conditions relating to our upstream license with OSIF. Additionally, we are eligible to receive up to an aggregate of approximately $1.0 billion in potential research, development, commercial and sales milestones, along with tiered royalties ranging from high-single digits to low-double digits on annual net sales of licensed products, subject to customary reductions and an overall royalty floor. As of December 31, 2025, no development milestones, sales milestones, or royalties had become due to us.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Contractual Obligations and Commitments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OSIF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On October 30, 2023, we entered into the OSIF License Agreement with OSIF, pursuant to which OSIF granted us an exclusive, royalty-bearing license to certain patent rights to make, have made, use, sell, and import certain licensed products, subject to certain terms and restrictions therein. As consideration, we issued to OSIF 567,060 shares of our common stock, which constituted 5%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fully diluted capitalization as of the effective date of the agreement, valued at $0.1 million, and agreed to issue additional equity securities to OSIF from time to time as necessary to maintain its pro rata ownership percentage until we have received a specified amount of equity financing proceeds pursuant to certain anti-dilution provisions of the OSIF License Agreement. On April 17, 2024, upon the closing of our Series A convertible preferred stock financing, we issued to OSIF an additional 29,522 shares of our common stock, valued at $0.1 million, in accordance with the anti-dilution provisions of the OSIF License Agreement. The OSIF License Agreement has been subsequently amended to add additional patent rights and technology disclosures to the licensed intellectual property, and we reimbursed OSIF for patent prosecution costs associated with such additional patent rights.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OSIF License Agreement, we are required to pay OSIF a total of up to $4.2 million upon achievement of certain clinical development, regulatory approval, and commercial sales milestones, for each licensed product. We are also required to pay OSIF tiered low-single digit running royalties based on annual net sales of each licensed product, along with a specified minimum annual royalty amount for each licensed product, subject to customary reductions and offsets. In addition, we are responsible for certain patent costs incurred after the effective date of the OSIF License Agreement and annual maintenance fees. The OSIF License Agreement also requires us to pay OSIF tiered low-double digit percentages of certain non-royalty sublicense consideration, with the applicable percentage depending on the stage of development at which the sublicense is granted. In connection with the Biogen Agreement, during the year ended December 31, 2025, we paid OSIF $0.3 million in sublicensing fees related to the upfront payment received under the Biogen Agreement. No milestone payments or net sales-based royalties had become due to OSIF through December 31, 2025. No repurchase rights of common stock issued to OSIF existed as of December 31, 2024 or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Purchase and Other Obligations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enter into contracts in the normal course of business with CROs and other third-party vendors for preclinical and commercial supply manufacturing, support for pre-commercial activities, research, and development activities, and other services and products for our operations. These contracts are generally cancelable upon written notice. Payments due upon cancellation consist generally of payments for services provided and expenses incurred up to the date of cancellation.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Lease Obligations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December 2023, we entered into a lease of office and laboratory space in Cambridge, Massachusetts, which became our corporate headquarters. In June 2025, we entered into the First Amendment to Lease (“Amendment”), which expanded the leased premises to include the entire second floor and a portion of the fourth floor, provided for the surrender of the original first floor and penthouse premises, and extended the lease term through September 30, 2031. Following the Amendment, our leased premises consist of approximately 51,726 rentable square feet. Under the terms of the Amendment, the lease term for the retained and substitute premises expires on September 30, 2031. The lease includes a renewal option which extends the term of the lease for an additional 36 months, however, we have determined that it is not reasonably certain that we will exercise this option.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Monthly rent payments under the lease, which include base rent charges of approximately $0.5 million per month, are subject to yearly rent increases of 3% through the end of the lease term. Base rent is fully abated during the months of December 2025, December 2026, and December 2027. The Company is responsible for paying a pro rata share of costs incurred for common area maintenance, real estate taxes, and property insurance related to the leased space, which are considered variable lease payments and are expensed as incurred. The total rent payments to be paid over the non-cancelable term of this lease are $39.6 million. We have a weighted-average incremental borrowing rate of 14.0% and a weighted-average remaining lease term of 5.7 years.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Refer to Note 7 to our audited consolidated financial statements included elsewhere in this prospectus for more information on our lease obligations.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Critical Accounting Estimates and Significant Judgments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management’s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the reported amounts of assets, liabilities, and expenses and the related disclosure of contingent assets and liabilities in our financial statements.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our significant accounting policies are described in more detail in Note 2 to our audited consolidated financial statements included elsewhere in this prospectus, we believe that the following accounting policies are those most critical to the judgments and estimates used in the preparation of our consolidated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Revenue Recognition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date, our revenue is generated from our research and collaboration agreements with our collaboration partners. Under each agreement, we identify the performance obligations and determine the transaction price at contract inception, including assessment of variable consideration. We recognize revenue over time as we perform the research services using an input method which is based on the actual costs incurred relative to total costs expected to be incurred. The transaction price is updated at each reporting date for any changes in estimated variable consideration. Significant judgment is required in (i) identifying the performance obligations under each agreement, including assessing whether promises are distinct, (ii) estimating variable consideration related to cost reimbursements, milestones, and other contingent payments, including the constraint on variable consideration, and (iii) estimating the total costs expected to be incurred over the performance period. Changes in these estimates can have a material impact on the timing and amount of revenue recognized.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Research and Development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part of the process of preparing our consolidated financial statements, we are required to estimate our accrued research and development expenses as of each balance sheet date. In accruing these costs, we estimate based on the work completed and in accordance with agreements established with our third-party service providers under the service agreements. This process involves reviewing open contracts and purchase orders, communicating with internal personnel to identify services that have been performed on our behalf and estimating the level of service performed and the associated cost incurred for the service when we have not yet been invoiced or otherwise notified of the actual cost. We recognize direct development costs based on an evaluation of the progress to completion of specific tasks using information provided to us by our vendors or our estimate of the level of service that has been performed at each reporting date. Payments for these activities are based on the terms of the individual agreements, which may differ from the timing of when costs are incurred. In circumstances where amounts have been paid in excess of costs incurred, we record a prepaid expense.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Stock-Based Compensation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periodically grant equity-based payment awards in the form of stock options to employees, directors and non-employee consultants and record stock-based compensation expenses for awards of stock-based payments based on their estimated fair value at the grant date. For equity-based awards with service-based vesting conditions, we recognize compensation expense on a straight-line basis.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equity-based awards with performance-based vesting conditions, we recognize compensation expense at the point in time when achievement of the performance condition becomes probable. Estimating the fair value of equity awards as of the grant date using valuation models, such as the Black-Scholes option pricing model, is affected by assumptions regarding a number of variables, including the risk-free interest rate, the expected stock price volatility, the expected term of stock options, the expected dividend yield and the fair value of the underlying common stock on the date of grant. These inputs are subjective and generally require significant analysis and judgment to develop. Forfeitures are accounted for as they occur. Changes in the assumptions can materially affect the fair value and ultimately how much stock-based compensation expense is recognized. The fair value of time-vesting restricted common stock awards is equal to the common stock price on the date of grant.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classify stock-based compensation expense in the statement of operations in the same manner in which the award recipients’ payroll costs are classified or in which the award recipients’ service payments are classified. We expect to continue to grant equity-based awards in the future, and to the extent that we do, our stock-based compensation expense recognized in future periods will likely increase.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See Note 12 to our audited consolidated financial statements included elsewhere in this prospectus for further details.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Determination of the Fair Value of Common Stock</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As there is no public market for our common stock to date, the fair value of the shares of our common stock underlying these share-based awards has been determined by our board of directors, as of the date of each stock option grant, by considering a number of objective and subjective factors, including third-party valuations of our common stock, the valuation of comparable companies, our operating and financial performance, and general and industry-specific economic outlook, among other factors. The assumptions underlying these valuations represented our best estimate, with the assistance of a third-party valuation specialist, which involved inherent uncertainties and the application of our judgment. These third-party valuations were performed in accordance with the guidance outlined in the American Institute of Certified Public Accountants’ Accounting and Valuation Guide, </w:t>
      </w:r>
      <w:r>
        <w:rPr>
          <w:rFonts w:ascii="Helvetica;Arial;sans-serif" w:hAnsi="Helvetica;Arial;sans-serif"/>
          <w:b w:val="false"/>
          <w:i/>
          <w:caps w:val="false"/>
          <w:smallCaps w:val="false"/>
          <w:color w:val="000000"/>
          <w:spacing w:val="-2"/>
          <w:sz w:val="20"/>
        </w:rPr>
        <w:t>Valuation of Privately Held Company Equity Securities Issued as Compensation</w:t>
      </w:r>
      <w:r>
        <w:rPr>
          <w:rFonts w:ascii="Helvetica;Arial;sans-serif" w:hAnsi="Helvetica;Arial;sans-serif"/>
          <w:b w:val="false"/>
          <w:i w:val="false"/>
          <w:caps w:val="false"/>
          <w:smallCaps w:val="false"/>
          <w:color w:val="000000"/>
          <w:spacing w:val="-2"/>
          <w:sz w:val="20"/>
        </w:rPr>
        <w:t>. As a result, if we had used different assumptions or estimates, the fair value of our common stock and the stock-based compensation expense could have been materially different.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common stock valuations were prepared using a market approach to estimate our enterprise value using an option pricing method (“OPM”), to allocate value to the common stock.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A discount for lack of marketability (“DLOM”) of the common stock is then applied to arrive at an indication of value for the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third-party valuations were performed at various dates, which resulted in valuations of our common stock at $4.21 per share as of April 17, 2024, and $2.01 per share as of April 8, 2025. Given the absence of a public trading market, our board of directors, with input from management, considered the results of these third-party valuations in addition to numerous objective and subjective factors to determine the fair value of our common stock. The factors included, but were not limited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prices at which we sold convertible preferred stock to new and existing investors and the rights and preferences of the convertible preferred stock relative to our common stock at the time of each grant;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54">
                <wp:simplePos x="0" y="0"/>
                <wp:positionH relativeFrom="column">
                  <wp:align>left</wp:align>
                </wp:positionH>
                <wp:positionV relativeFrom="line">
                  <wp:align>top</wp:align>
                </wp:positionV>
                <wp:extent cx="254000" cy="350520"/>
                <wp:effectExtent l="0" t="0" r="0" b="0"/>
                <wp:wrapSquare wrapText="right"/>
                <wp:docPr id="332" name="Frame3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raise future financings;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right"/>
                <wp:docPr id="333" name="Frame3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progress of our research and development efforts, including the status of clinical development for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56">
                <wp:simplePos x="0" y="0"/>
                <wp:positionH relativeFrom="column">
                  <wp:align>left</wp:align>
                </wp:positionH>
                <wp:positionV relativeFrom="line">
                  <wp:align>top</wp:align>
                </wp:positionV>
                <wp:extent cx="254000" cy="350520"/>
                <wp:effectExtent l="0" t="0" r="0" b="0"/>
                <wp:wrapSquare wrapText="right"/>
                <wp:docPr id="334" name="Frame3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financial position, including cash on hand, and our historical and forecasted performance and operating results;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57">
                <wp:simplePos x="0" y="0"/>
                <wp:positionH relativeFrom="column">
                  <wp:align>left</wp:align>
                </wp:positionH>
                <wp:positionV relativeFrom="line">
                  <wp:posOffset>635</wp:posOffset>
                </wp:positionV>
                <wp:extent cx="254000" cy="350520"/>
                <wp:effectExtent l="0" t="0" r="0" b="0"/>
                <wp:wrapSquare wrapText="right"/>
                <wp:docPr id="335" name="Frame3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stage of development and business strategy and the material risks related to our business and industry;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right"/>
                <wp:docPr id="336" name="Frame3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achievement of enterprise milestones, including entering into license agreements;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right"/>
                <wp:docPr id="337" name="Frame3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external market conditions affecting the biotechnology industry and trends within the biotechnology industry;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right"/>
                <wp:docPr id="338" name="Frame3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likelihood of achieving a liquidity event for the holders of our convertible preferred stock and holders of our common stock, such as an initial public offering, or a sale of our Company, given prevailing market conditions;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339" name="Frame3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analysis of initial public offerings and the market performance of similar companies in the biopharmaceutical industry.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40" name="Frame3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 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equity awards we may grant, as the fair value of our common stock will be determined based on the quoted market price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by grant date the number of shares subject to awards granted under our 2023 Plan from January 1, 2025 through the date of this prospectus, the per share exercise price of the awards and weighted average grant date fair value on each grant date:</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2" w:type="dxa"/>
          <w:right w:w="0" w:type="dxa"/>
        </w:tblCellMar>
      </w:tblPr>
      <w:tblGrid>
        <w:gridCol w:w="1648"/>
        <w:gridCol w:w="109"/>
        <w:gridCol w:w="109"/>
        <w:gridCol w:w="1017"/>
        <w:gridCol w:w="109"/>
        <w:gridCol w:w="109"/>
        <w:gridCol w:w="109"/>
        <w:gridCol w:w="109"/>
        <w:gridCol w:w="1066"/>
        <w:gridCol w:w="109"/>
        <w:gridCol w:w="109"/>
        <w:gridCol w:w="109"/>
        <w:gridCol w:w="126"/>
        <w:gridCol w:w="262"/>
        <w:gridCol w:w="611"/>
        <w:gridCol w:w="126"/>
        <w:gridCol w:w="109"/>
        <w:gridCol w:w="109"/>
        <w:gridCol w:w="111"/>
        <w:gridCol w:w="231"/>
        <w:gridCol w:w="643"/>
        <w:gridCol w:w="111"/>
        <w:gridCol w:w="109"/>
        <w:gridCol w:w="109"/>
        <w:gridCol w:w="137"/>
        <w:gridCol w:w="285"/>
        <w:gridCol w:w="723"/>
        <w:gridCol w:w="137"/>
        <w:gridCol w:w="161"/>
      </w:tblGrid>
      <w:tr>
        <w:trPr/>
        <w:tc>
          <w:tcPr>
            <w:tcW w:w="1648" w:type="dxa"/>
            <w:tcBorders>
              <w:bottom w:val="single" w:sz="2" w:space="0" w:color="000000"/>
            </w:tcBorders>
            <w:vAlign w:val="center"/>
          </w:tcPr>
          <w:p>
            <w:pPr>
              <w:pStyle w:val="TableContents"/>
              <w:bidi w:val="0"/>
              <w:spacing w:before="0" w:after="0"/>
              <w:jc w:val="left"/>
              <w:rPr>
                <w:spacing w:val="-2"/>
              </w:rPr>
            </w:pPr>
            <w:r>
              <w:rPr>
                <w:spacing w:val="-2"/>
              </w:rPr>
              <w:t xml:space="preserve">Grant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7" w:type="dxa"/>
            <w:tcBorders>
              <w:bottom w:val="single" w:sz="2" w:space="0" w:color="000000"/>
            </w:tcBorders>
            <w:vAlign w:val="center"/>
          </w:tcPr>
          <w:p>
            <w:pPr>
              <w:pStyle w:val="TableContents"/>
              <w:bidi w:val="0"/>
              <w:spacing w:before="0" w:after="0"/>
              <w:jc w:val="center"/>
              <w:rPr>
                <w:spacing w:val="-2"/>
              </w:rPr>
            </w:pPr>
            <w:r>
              <w:rPr>
                <w:spacing w:val="-2"/>
              </w:rPr>
              <w:t xml:space="preserve">Type of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2"/>
              </w:rPr>
              <w:t>Number of</w:t>
            </w:r>
            <w:r>
              <w:rPr/>
              <w:t xml:space="preserve"> </w:t>
              <w:br/>
            </w:r>
            <w:r>
              <w:rPr>
                <w:spacing w:val="-2"/>
              </w:rPr>
              <w:t xml:space="preserve">Shares </w:t>
            </w:r>
            <w:r>
              <w:rPr/>
              <w:br/>
            </w:r>
            <w:r>
              <w:rPr>
                <w:spacing w:val="-2"/>
              </w:rPr>
              <w:t>Subject</w:t>
            </w:r>
            <w:r>
              <w:rPr/>
              <w:t xml:space="preserve"> </w:t>
              <w:br/>
            </w:r>
            <w:r>
              <w:rPr>
                <w:spacing w:val="-2"/>
              </w:rPr>
              <w:t xml:space="preserve">to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5" w:type="dxa"/>
            <w:gridSpan w:val="4"/>
            <w:tcBorders>
              <w:bottom w:val="single" w:sz="2" w:space="0" w:color="000000"/>
            </w:tcBorders>
            <w:vAlign w:val="center"/>
          </w:tcPr>
          <w:p>
            <w:pPr>
              <w:pStyle w:val="TableContents"/>
              <w:bidi w:val="0"/>
              <w:spacing w:before="0" w:after="0"/>
              <w:jc w:val="center"/>
              <w:rPr/>
            </w:pPr>
            <w:r>
              <w:rPr>
                <w:spacing w:val="-2"/>
              </w:rPr>
              <w:t>Per Share</w:t>
            </w:r>
            <w:r>
              <w:rPr/>
              <w:t xml:space="preserve"> </w:t>
              <w:br/>
            </w:r>
            <w:r>
              <w:rPr>
                <w:spacing w:val="-2"/>
              </w:rPr>
              <w:t>Exercise Price</w:t>
            </w:r>
            <w:r>
              <w:rPr/>
              <w:t xml:space="preserve"> </w:t>
              <w:br/>
            </w:r>
            <w:r>
              <w:rPr>
                <w:spacing w:val="-2"/>
              </w:rPr>
              <w:t xml:space="preserve">of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6" w:type="dxa"/>
            <w:gridSpan w:val="4"/>
            <w:tcBorders>
              <w:bottom w:val="single" w:sz="2" w:space="0" w:color="000000"/>
            </w:tcBorders>
            <w:vAlign w:val="center"/>
          </w:tcPr>
          <w:p>
            <w:pPr>
              <w:pStyle w:val="TableContents"/>
              <w:bidi w:val="0"/>
              <w:spacing w:before="0" w:after="0"/>
              <w:jc w:val="center"/>
              <w:rPr/>
            </w:pPr>
            <w:r>
              <w:rPr>
                <w:spacing w:val="-2"/>
              </w:rPr>
              <w:t xml:space="preserve">Per Share </w:t>
            </w:r>
            <w:r>
              <w:rPr/>
              <w:br/>
            </w:r>
            <w:r>
              <w:rPr>
                <w:spacing w:val="-2"/>
              </w:rPr>
              <w:t>Fair Value</w:t>
            </w:r>
            <w:r>
              <w:rPr/>
              <w:t xml:space="preserve"> </w:t>
              <w:br/>
            </w:r>
            <w:r>
              <w:rPr>
                <w:spacing w:val="-2"/>
              </w:rPr>
              <w:t xml:space="preserve">of Common </w:t>
            </w:r>
            <w:r>
              <w:rPr/>
              <w:br/>
            </w:r>
            <w:r>
              <w:rPr>
                <w:spacing w:val="-2"/>
              </w:rPr>
              <w:t>Stock on</w:t>
            </w:r>
            <w:r>
              <w:rPr/>
              <w:t xml:space="preserve"> </w:t>
              <w:br/>
            </w:r>
            <w:r>
              <w:rPr>
                <w:spacing w:val="-2"/>
              </w:rPr>
              <w:t xml:space="preserve">Grant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2" w:type="dxa"/>
            <w:gridSpan w:val="4"/>
            <w:tcBorders>
              <w:bottom w:val="single" w:sz="2" w:space="0" w:color="000000"/>
            </w:tcBorders>
            <w:vAlign w:val="center"/>
          </w:tcPr>
          <w:p>
            <w:pPr>
              <w:pStyle w:val="TableContents"/>
              <w:bidi w:val="0"/>
              <w:spacing w:before="0" w:after="0"/>
              <w:jc w:val="center"/>
              <w:rPr/>
            </w:pPr>
            <w:r>
              <w:rPr>
                <w:spacing w:val="-2"/>
              </w:rPr>
              <w:t xml:space="preserve">Weighted Average </w:t>
            </w:r>
            <w:r>
              <w:rPr/>
              <w:br/>
            </w:r>
            <w:r>
              <w:rPr>
                <w:spacing w:val="-2"/>
              </w:rPr>
              <w:t xml:space="preserve">Grant Date Fair </w:t>
            </w:r>
            <w:r>
              <w:rPr/>
              <w:br/>
            </w:r>
            <w:r>
              <w:rPr>
                <w:spacing w:val="-2"/>
              </w:rPr>
              <w:t xml:space="preserve">Value Per Share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8" w:type="dxa"/>
            <w:tcBorders/>
            <w:shd w:fill="CCEEFF" w:val="clear"/>
            <w:tcMar>
              <w:bottom w:w="0" w:type="dxa"/>
            </w:tcMar>
            <w:vAlign w:val="center"/>
          </w:tcPr>
          <w:p>
            <w:pPr>
              <w:pStyle w:val="TableContents"/>
              <w:bidi w:val="0"/>
              <w:spacing w:before="0" w:after="283"/>
              <w:jc w:val="left"/>
              <w:rPr>
                <w:spacing w:val="-2"/>
              </w:rPr>
            </w:pPr>
            <w:r>
              <w:rPr>
                <w:spacing w:val="-2"/>
              </w:rPr>
              <w:t xml:space="preserve">February 25,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17" w:type="dxa"/>
            <w:tcBorders/>
            <w:shd w:fill="CCEEFF" w:val="clear"/>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340,019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611" w:type="dxa"/>
            <w:tcBorders/>
            <w:shd w:fill="CCEEFF" w:val="clear"/>
            <w:tcMar>
              <w:bottom w:w="0" w:type="dxa"/>
            </w:tcMar>
            <w:vAlign w:val="center"/>
          </w:tcPr>
          <w:p>
            <w:pPr>
              <w:pStyle w:val="TableContents"/>
              <w:bidi w:val="0"/>
              <w:spacing w:before="0" w:after="283"/>
              <w:jc w:val="right"/>
              <w:rPr/>
            </w:pPr>
            <w:r>
              <w:rPr/>
              <w:t>1.00</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643" w:type="dxa"/>
            <w:tcBorders/>
            <w:shd w:fill="CCEEFF" w:val="clear"/>
            <w:tcMar>
              <w:bottom w:w="0" w:type="dxa"/>
            </w:tcMar>
            <w:vAlign w:val="center"/>
          </w:tcPr>
          <w:p>
            <w:pPr>
              <w:pStyle w:val="TableContents"/>
              <w:bidi w:val="0"/>
              <w:spacing w:before="0" w:after="283"/>
              <w:jc w:val="right"/>
              <w:rPr/>
            </w:pPr>
            <w:r>
              <w:rPr/>
              <w:t>4.21</w:t>
            </w:r>
            <w:r>
              <w:rPr>
                <w:sz w:val="13"/>
              </w:rPr>
              <w:t>(1)</w:t>
            </w:r>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5"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3.81</w:t>
            </w:r>
          </w:p>
        </w:tc>
        <w:tc>
          <w:tcPr>
            <w:tcW w:w="137"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648" w:type="dxa"/>
            <w:tcBorders/>
            <w:tcMar>
              <w:bottom w:w="0" w:type="dxa"/>
            </w:tcMar>
            <w:vAlign w:val="center"/>
          </w:tcPr>
          <w:p>
            <w:pPr>
              <w:pStyle w:val="TableContents"/>
              <w:bidi w:val="0"/>
              <w:spacing w:before="0" w:after="283"/>
              <w:jc w:val="left"/>
              <w:rPr>
                <w:spacing w:val="-2"/>
              </w:rPr>
            </w:pPr>
            <w:r>
              <w:rPr>
                <w:spacing w:val="-2"/>
              </w:rPr>
              <w:t xml:space="preserve">May 13,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17" w:type="dxa"/>
            <w:tcBorders/>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759,900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2.01</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643" w:type="dxa"/>
            <w:tcBorders/>
            <w:tcMar>
              <w:bottom w:w="0" w:type="dxa"/>
            </w:tcMar>
            <w:vAlign w:val="center"/>
          </w:tcPr>
          <w:p>
            <w:pPr>
              <w:pStyle w:val="TableContents"/>
              <w:bidi w:val="0"/>
              <w:spacing w:before="0" w:after="283"/>
              <w:jc w:val="right"/>
              <w:rPr/>
            </w:pPr>
            <w:r>
              <w:rPr/>
              <w:t>2.01</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285"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1.57</w:t>
            </w:r>
          </w:p>
        </w:tc>
        <w:tc>
          <w:tcPr>
            <w:tcW w:w="137"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648" w:type="dxa"/>
            <w:tcBorders/>
            <w:shd w:fill="CCEEFF" w:val="clear"/>
            <w:tcMar>
              <w:bottom w:w="0" w:type="dxa"/>
            </w:tcMar>
            <w:vAlign w:val="center"/>
          </w:tcPr>
          <w:p>
            <w:pPr>
              <w:pStyle w:val="TableContents"/>
              <w:bidi w:val="0"/>
              <w:spacing w:before="0" w:after="283"/>
              <w:jc w:val="left"/>
              <w:rPr>
                <w:spacing w:val="-2"/>
              </w:rPr>
            </w:pPr>
            <w:r>
              <w:rPr>
                <w:spacing w:val="-2"/>
              </w:rPr>
              <w:t xml:space="preserve">August 11,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17" w:type="dxa"/>
            <w:tcBorders/>
            <w:shd w:fill="CCEEFF" w:val="clear"/>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286,500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611" w:type="dxa"/>
            <w:tcBorders/>
            <w:shd w:fill="CCEEFF" w:val="clear"/>
            <w:tcMar>
              <w:bottom w:w="0" w:type="dxa"/>
            </w:tcMar>
            <w:vAlign w:val="center"/>
          </w:tcPr>
          <w:p>
            <w:pPr>
              <w:pStyle w:val="TableContents"/>
              <w:bidi w:val="0"/>
              <w:spacing w:before="0" w:after="283"/>
              <w:jc w:val="right"/>
              <w:rPr/>
            </w:pPr>
            <w:r>
              <w:rPr/>
              <w:t>2.01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643" w:type="dxa"/>
            <w:tcBorders/>
            <w:shd w:fill="CCEEFF" w:val="clear"/>
            <w:tcMar>
              <w:bottom w:w="0" w:type="dxa"/>
            </w:tcMar>
            <w:vAlign w:val="center"/>
          </w:tcPr>
          <w:p>
            <w:pPr>
              <w:pStyle w:val="TableContents"/>
              <w:bidi w:val="0"/>
              <w:spacing w:before="0" w:after="283"/>
              <w:jc w:val="right"/>
              <w:rPr/>
            </w:pPr>
            <w:r>
              <w:rPr/>
              <w:t>2.01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5"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1.56</w:t>
            </w:r>
          </w:p>
        </w:tc>
        <w:tc>
          <w:tcPr>
            <w:tcW w:w="137"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648" w:type="dxa"/>
            <w:tcBorders/>
            <w:tcMar>
              <w:bottom w:w="0" w:type="dxa"/>
            </w:tcMar>
            <w:vAlign w:val="center"/>
          </w:tcPr>
          <w:p>
            <w:pPr>
              <w:pStyle w:val="TableContents"/>
              <w:bidi w:val="0"/>
              <w:spacing w:before="0" w:after="283"/>
              <w:jc w:val="left"/>
              <w:rPr>
                <w:spacing w:val="-2"/>
              </w:rPr>
            </w:pPr>
            <w:r>
              <w:rPr>
                <w:spacing w:val="-2"/>
              </w:rPr>
              <w:t xml:space="preserve">November 21,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17" w:type="dxa"/>
            <w:tcBorders/>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2.01</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643" w:type="dxa"/>
            <w:tcBorders/>
            <w:tcMar>
              <w:bottom w:w="0" w:type="dxa"/>
            </w:tcMar>
            <w:vAlign w:val="center"/>
          </w:tcPr>
          <w:p>
            <w:pPr>
              <w:pStyle w:val="TableContents"/>
              <w:bidi w:val="0"/>
              <w:spacing w:before="0" w:after="283"/>
              <w:jc w:val="right"/>
              <w:rPr/>
            </w:pPr>
            <w:r>
              <w:rPr/>
              <w:t>2.01</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285"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1.57</w:t>
            </w:r>
          </w:p>
        </w:tc>
        <w:tc>
          <w:tcPr>
            <w:tcW w:w="137"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648" w:type="dxa"/>
            <w:tcBorders/>
            <w:shd w:fill="CCEEFF" w:val="clear"/>
            <w:tcMar>
              <w:bottom w:w="0" w:type="dxa"/>
            </w:tcMar>
            <w:vAlign w:val="center"/>
          </w:tcPr>
          <w:p>
            <w:pPr>
              <w:pStyle w:val="TableContents"/>
              <w:bidi w:val="0"/>
              <w:spacing w:before="0" w:after="283"/>
              <w:jc w:val="left"/>
              <w:rPr>
                <w:spacing w:val="-2"/>
              </w:rPr>
            </w:pPr>
            <w:r>
              <w:rPr>
                <w:spacing w:val="-2"/>
              </w:rPr>
              <w:t xml:space="preserve">February 13,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17" w:type="dxa"/>
            <w:tcBorders/>
            <w:shd w:fill="CCEEFF" w:val="clear"/>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1,530,900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611" w:type="dxa"/>
            <w:tcBorders/>
            <w:shd w:fill="CCEEFF" w:val="clear"/>
            <w:tcMar>
              <w:bottom w:w="0" w:type="dxa"/>
            </w:tcMar>
            <w:vAlign w:val="center"/>
          </w:tcPr>
          <w:p>
            <w:pPr>
              <w:pStyle w:val="TableContents"/>
              <w:bidi w:val="0"/>
              <w:spacing w:before="0" w:after="283"/>
              <w:jc w:val="right"/>
              <w:rPr/>
            </w:pPr>
            <w:r>
              <w:rPr/>
              <w:t>2.01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643" w:type="dxa"/>
            <w:tcBorders/>
            <w:shd w:fill="CCEEFF" w:val="clear"/>
            <w:tcMar>
              <w:bottom w:w="0" w:type="dxa"/>
            </w:tcMar>
            <w:vAlign w:val="center"/>
          </w:tcPr>
          <w:p>
            <w:pPr>
              <w:pStyle w:val="TableContents"/>
              <w:bidi w:val="0"/>
              <w:spacing w:before="0" w:after="283"/>
              <w:jc w:val="right"/>
              <w:rPr/>
            </w:pPr>
            <w:r>
              <w:rPr/>
              <w:t>2.01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5"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 xml:space="preserve">1.59 </w:t>
            </w:r>
          </w:p>
        </w:tc>
        <w:tc>
          <w:tcPr>
            <w:tcW w:w="137"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648" w:type="dxa"/>
            <w:tcBorders/>
            <w:tcMar>
              <w:bottom w:w="0" w:type="dxa"/>
            </w:tcMar>
            <w:vAlign w:val="center"/>
          </w:tcPr>
          <w:p>
            <w:pPr>
              <w:pStyle w:val="TableContents"/>
              <w:bidi w:val="0"/>
              <w:spacing w:before="0" w:after="283"/>
              <w:jc w:val="left"/>
              <w:rPr>
                <w:spacing w:val="-2"/>
              </w:rPr>
            </w:pPr>
            <w:r>
              <w:rPr>
                <w:spacing w:val="-2"/>
              </w:rPr>
              <w:t xml:space="preserve">February 25,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17" w:type="dxa"/>
            <w:tcBorders/>
            <w:tcMar>
              <w:bottom w:w="0" w:type="dxa"/>
            </w:tcMar>
            <w:vAlign w:val="center"/>
          </w:tcPr>
          <w:p>
            <w:pPr>
              <w:pStyle w:val="TableContents"/>
              <w:bidi w:val="0"/>
              <w:spacing w:before="0" w:after="0"/>
              <w:jc w:val="center"/>
              <w:rPr>
                <w:spacing w:val="-2"/>
              </w:rPr>
            </w:pPr>
            <w:r>
              <w:rPr>
                <w:spacing w:val="-2"/>
              </w:rPr>
              <w:t xml:space="preserve">Stock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611" w:type="dxa"/>
            <w:tcBorders/>
            <w:tcMar>
              <w:bottom w:w="0" w:type="dxa"/>
            </w:tcMar>
            <w:vAlign w:val="center"/>
          </w:tcPr>
          <w:p>
            <w:pPr>
              <w:pStyle w:val="TableContents"/>
              <w:bidi w:val="0"/>
              <w:spacing w:before="0" w:after="283"/>
              <w:jc w:val="right"/>
              <w:rPr/>
            </w:pPr>
            <w:r>
              <w:rPr/>
              <w:t>2.01</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643" w:type="dxa"/>
            <w:tcBorders/>
            <w:tcMar>
              <w:bottom w:w="0" w:type="dxa"/>
            </w:tcMar>
            <w:vAlign w:val="center"/>
          </w:tcPr>
          <w:p>
            <w:pPr>
              <w:pStyle w:val="TableContents"/>
              <w:bidi w:val="0"/>
              <w:spacing w:before="0" w:after="283"/>
              <w:jc w:val="right"/>
              <w:rPr/>
            </w:pPr>
            <w:r>
              <w:rPr/>
              <w:t>2.01</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285"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1.60</w:t>
            </w:r>
          </w:p>
        </w:tc>
        <w:tc>
          <w:tcPr>
            <w:tcW w:w="137"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At the time of the stock option grant on February 25, 2025, our board of directors determined that the fair value of our common stock of $1.00 per share reasonably reflected the fair value of our common stock as of the grant date. However, the fair value of our common stock as of the date of this grant was adjusted in connection with a retrospective fair value assessment for accounting purposes.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8900" distB="0" distL="0" distR="0" simplePos="0" locked="0" layoutInCell="1" allowOverlap="1" relativeHeight="363">
                <wp:simplePos x="0" y="0"/>
                <wp:positionH relativeFrom="column">
                  <wp:align>left</wp:align>
                </wp:positionH>
                <wp:positionV relativeFrom="line">
                  <wp:align>top</wp:align>
                </wp:positionV>
                <wp:extent cx="254000" cy="233680"/>
                <wp:effectExtent l="0" t="0" r="0" b="0"/>
                <wp:wrapSquare wrapText="right"/>
                <wp:docPr id="341" name="Frame33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fair value of our common stock of $4.21 per share as of February 25, 2025 was determined by our board of directors, based, in part, on the $4.21 per share value indicated in the retrospective third-party valuation prepared as of April 17, 2024. In particular, the valuation determined our enterprise value using an OPM backsolve approach that was primarily based on the $10.0295 price per share paid by new and existing investors in the closing of our Series A convertible preferred stock in April 2024. A DLOM of the common stock was then applied to arrive at an indication of value for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fair value of our common stock of $2.01 per share from May 13, 2025 to February 25, 2026 was determined by our board of directors, based, in part, on the $2.01 per share value indicated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third-party valuation prepared as of April 8, 2025. In particular, the valuation determined our enterprise value using an OPM market-adjusted backsolve approach that was based on the $10.0295 price per share paid by new and existing investors in the closing of our Series A preferred stock in April 2024. The market adjustment applied to the equity value considered the performance of guideline public companies and the biotech indices since the most recent sale of our convertible preferred stock through the valuation date. A DLOM of the common stock was then applied to arrive at an indication of value for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Off-balance Sheet Arrangements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periods presented, we did not have, nor do we currently have, any off-balance sheet arrangements as defined in the rules and regulations of the SEC.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Recent Accounting Pronouncements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See Note 2 to our audited consolidated financial statements included elsewhere in this prospectus for a description of recent accounting pronouncements applicable to our consolidated financial statements.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Emerging Growth Company and Smaller Reporting Company Status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being permitted to provide only two years of audited financial statements in addition to any required unaudited interim financial statements and a correspondingly reduced “</w:t>
      </w:r>
      <w:r>
        <w:rPr>
          <w:rFonts w:ascii="Helvetica;Arial;sans-serif" w:hAnsi="Helvetica;Arial;sans-serif"/>
          <w:b w:val="false"/>
          <w:i/>
          <w:caps w:val="false"/>
          <w:smallCaps w:val="false"/>
          <w:color w:val="000000"/>
          <w:spacing w:val="-2"/>
          <w:sz w:val="20"/>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rPr>
        <w:t>” disclosure in this prospectus;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342" name="Frame3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not being required to comply with the auditor attestation requirements in the assessment of our internal control over financial reporting pursuant to Section 404 of the Sarbanes-Oxley Act; </w:t>
      </w:r>
      <w:r>
        <mc:AlternateContent>
          <mc:Choice Requires="wps">
            <w:drawing>
              <wp:anchor behindDoc="0" distT="67310" distB="0" distL="25400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right"/>
                <wp:docPr id="343" name="Frame3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reduced disclosure obligations regarding executive compensation;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right"/>
                <wp:docPr id="344" name="Frame3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exemptions from the requirements of holding a nonbinding advisory vote on executive compensation and shareholder approval of any golden parachute payments not previously approved;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367">
                <wp:simplePos x="0" y="0"/>
                <wp:positionH relativeFrom="column">
                  <wp:align>left</wp:align>
                </wp:positionH>
                <wp:positionV relativeFrom="line">
                  <wp:align>top</wp:align>
                </wp:positionV>
                <wp:extent cx="254000" cy="350520"/>
                <wp:effectExtent l="0" t="0" r="0" b="0"/>
                <wp:wrapSquare wrapText="right"/>
                <wp:docPr id="345"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exemptions from compliance with the requirements of the Public Company Accounting Oversight Board regarding the communication of critical audit matters in the auditor’s report on the financial statements.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368">
                <wp:simplePos x="0" y="0"/>
                <wp:positionH relativeFrom="column">
                  <wp:align>left</wp:align>
                </wp:positionH>
                <wp:positionV relativeFrom="line">
                  <wp:align>top</wp:align>
                </wp:positionV>
                <wp:extent cx="254000" cy="350520"/>
                <wp:effectExtent l="0" t="0" r="0" b="0"/>
                <wp:wrapSquare wrapText="right"/>
                <wp:docPr id="346"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will adopt the new or revised standard whenever such adoption is required for private companies. We may also choose to early adopt any new or revised accounting standards whenever such early adoption is permitted. This may make comparison of our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will remain an emerging growth company until the earliest of (i) the last day of the fiscal year following the fifth anniversary of the completion of this initial public offering, (ii) the last day of the fiscal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880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year in which we have total annual gross revenue of at least $1.235 billion, (iii) the last day of the fiscal year in which we are deemed to be a “large accelerated filer” as defined in Rule 12b-2 under the Exchange Act, which would occur if the market value of the common stock held by non-affiliates exceeded $700.0 million as of the last business day of the second fiscal quarter of such year, or (iv) the date on which we have issued more than $1.0 billion in non-convertible debt securities during the prior three</w:t>
        <w:noBreakHyphen/>
        <w:t>year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voting and non-voting common stock held by non-affiliates is less than $250.0 million measured on the last business day of our second fiscal quarter, or (ii)(a) our annual revenue is less than $100.0 million during the most recently completed fiscal year, and (b) the market value of our voting and non-voting common stock held by non-affiliates is less than $700.0 million measured on the last business day of our second fiscal quarter.</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BU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BUSINESS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Overview</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 clinical-stage biotechnology company developing the next generation of RNA interference (“RNAi”) therapeutics designed to silence the expression of disease-relevant proteins, with the aim of delivering meaningful, durable benefits for patients in need. We believe our deep RNAi expertise and City Platform capabilities uniquely position us to develop potentially best-in-class therapeutics. Our vision is to lead the next generation of RNAi therapeutics, and our mission is to improve patients’ lives through breakthrough RNAi science as we build a biopharmaceutical company with enduring impact.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current pipeline is focused on indications with significant unmet medical need, including thromboembolic diseases, Stargardt disease type 1 (“Stargardt disease”), and anemia of chronic disease, where we believe disease biology supports RNAi-mediated knockdown as a differentiated approach compared to other modalities. Led by pioneers and experts in the field of RNAi, we have made rapid progress since founding our company in July 2023, discovering and advancing three potentially best-in-class programs into or toward the clinic in under three years, and our goal is for our City Platform to deliver one to two new investigational new drug application (“IND”) or IND-equivalent applications per year.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Several members of our leadership team, including John Maraganore, Ph.D., our co-founder and Executive Chair and former founding Chief Executive Officer of Alnylam Pharmaceuticals, Inc. (“Alnylam”), and Tracy Zimmermann, Ph.D., our Chief Scientific Officer, played a foundational role in establishing RNAi therapeutics as a validated treatment modality, and our President and Chief Executive Officer, Andrew (Andy) Orth, M.B.A., led the launch of multiple RNAi therapeutics, including the first approved RNAi therapy. The team at City has contributed to the discovery, development, or commercialization of seven of the eight currently U.S. Food and Drug Administration (“FDA”)-approved RNAi therapeutics, and 75% of our research leaders have prior RNAi therapeutics discovery or development experience.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RNAi is a naturally occurring biological process that regulates or silences gene expression by “interfering” with messenger RNA (“mRNA”) before it can be translated into protein. RNAi has inherent advantages as a therapeutic mechanism because it is a highly specific, potent, and durable approach to selectively silence the expression of disease-relevant proteins, including intracellular targets that are inaccessible to traditional small molecules and antibodies. In addition, RNAi therapeutics benefit from a simpler molecular architecture relative to biologics, consisting of short, chemically synthesized oligonucleotides rather than large, complex proteins, which enables more consistent and scalable manufacturing. RNAi has been validated mechanistically and commercially with the first of the eight approved RNAi therapeutics coming to market in 2018 and multiple products achieving substantial and growing commercial sales. With approximately 100 programs currently in clinical development, we believe RNAi therapeutics are poised to follow a growth trajectory analogous to that of monoclonal antibody therapeutics, a modality that was first approved by the FDA in the mid-1990s and has since expanded to more than 150 approved medicines today.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Currently approved RNAi therapeutics have focused on diseases that can be treated through delivery to liver cells. RNAi therapeutics typically consist of a short, chemically synthesized RNAi trigger molecule that initiates the RNAi process to silence a target gene. Current RNAi technologies predominantly utilize a N-acetylgalactosamine (“GalNAc”) ligand to deliver this therapeutic trigger to liver cells. This approach is well-validated, and we believe it has a high probability of technical and regulatory success relative to other therapeutic modalities. While the first generation of RNAi therapeutics has been successful, significant opportunities remain to further improve and extend the reach of RNAi therapeutics. To unlock the true potential of RNAi therapeutics, new technologies are needed to extend delivery beyond the liver to the more than 200 distinct cell types and thousands of diseases that remain beyond the reach of current RNAi approaches.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are aiming to define the future of the field of RNAi therapeutics both in and beyond the liver. We believe the next major advances in RNAi will come from innovations in RNAi trigger molecule design, tissue-selective delivery, and target selection. We have developed our City Platform to integrate these capabilities, optimizing our RNAi therapeutic candidates for liver-directed applications while also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extending the reach of the modality to extrahepatic tissues. Together with our deep RNAi expertise and disciplined execution, our City Platform positions us to develop RNAi therapeutics that have the potential to make a meaningful and durable difference for patients while supporting the advancement of our goal of filing one to two new IND or IND-equivalent applications per year. We are currently advancing our three lead product candidates for the treatment of diseases where there is significant unmet medical need.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CITY-FXI</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most advanced product candidate, CITY-FXI, is an optimized GalNAc-conjugated small interfering RNA (“siRNA”) therapeutic candidate targeting Factor XI (“FXI”). CITY-FXI illustrates our strategy of combining highly potent and specific RNAi triggers with validated disease targets. We believe CITY-FXI has a best-in-class profile for the prevention of thromboembolic diseases. Thrombosis, the formation of harmful clots inside a blood vessel, is responsible for approximately one in four deaths worldwide. It is estimated that 40 to 50 million patients are at risk for thromboembolic diseases across indications, including atrial fibrillation (“AFib”), prior venous thromboembolism (“VTE”), peripheral artery disease, and coronary artery diseases. The global anticoagulants market was estimated at approximately $37 billion in 2025 and is projected to reach approximately $56 billion by 2033, with FXI-targeted therapeutics representing the fastest-growing segment. Many patients remain untreated due to bleeding concerns, contraindications, treatment burden and adherence challenges, underscoring the need for new treatment options despite the availability of direct oral anticoagulant (“DOACs”), which is the current standard of care.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FXI is a genetically and clinically validated target that contributes to pathological thrombosis while playing a limited role in hemostasis, or normal blood clotting. CITY-FXI aims to prevent the expression of the protein itself, enabling a potentially complete and specific reduction of FXI function with a convenient biannual subcutaneous dosing profile. In preclinical studies with CITY-FXI, we observed 95% FXI knockdown with prolonged clotting time in non-human primates (“NHPs”) and no observed off-target effects in cell-based assays. We initiated our Phase 1 clinical trial for CITY-FXI in 2026. Initial data from two cohorts of our single-ascending dose (“SAD”) study in healthy volunteers showed a favorable safety profile with greater than 60% FXI knockdown observed following a single 15 mg subcutaneous dose, and close to 80% FXI knockdown after a single 50 mg subcutaneous dose. We expect to share additional data from our Phase 1 study in        . We intend to develop CITY-FXI for thromboembolic disease indications, including secondary stroke prevention, DOAC-ineligible AFib, extended secondary prophylaxis following VTE, and cancer-associated thrombosis, specifically in patients for whom DOACs are often not used because of heightened bleeding risk. We plan to first demonstrate clinical efficacy and safety in thrombotic disease through a Phase 2 trial in total knee arthroplasty (“TKA”). Given the significant market opportunity for CITY-FXI, the large-scale Phase 3 clinical trials expected to be required for regulatory approval, and the substantial commercialization resources required to support a potential launch, we expect to seek a collaboration partner for the asset prior to initiating Phase 3 development.</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CITY-RBP4</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second product candidate, CITY-RBP4, is an optimized GalNAc-conjugated siRNA therapeutic in development for the treatment of Stargardt disease, which is the most common inherited macular degenerative disease in children and young adults. There are currently no approved therapies for the disease. More than 30,000 people in the United States are diagnosed with Stargardt disease, and some studies suggest that the prevalence is even higher, indicating there could be a significant number of undiagnosed patients who emerge upon FDA approval of a treatment. Stargardt disease is debilitating, and many patients become legally blind in their late twenties. Patients face decades of progressive loss of central vision that renders daily activities, including reading, recognizing faces, and driving impossible.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Stargardt disease is caused by mutations in the </w:t>
      </w:r>
      <w:r>
        <w:rPr>
          <w:rFonts w:ascii="Helvetica;Arial;sans-serif" w:hAnsi="Helvetica;Arial;sans-serif"/>
          <w:b w:val="false"/>
          <w:i/>
          <w:caps w:val="false"/>
          <w:smallCaps w:val="false"/>
          <w:color w:val="000000"/>
          <w:spacing w:val="-2"/>
          <w:sz w:val="20"/>
        </w:rPr>
        <w:t>ABCA4</w:t>
      </w:r>
      <w:r>
        <w:rPr>
          <w:rFonts w:ascii="Helvetica;Arial;sans-serif" w:hAnsi="Helvetica;Arial;sans-serif"/>
          <w:b w:val="false"/>
          <w:i w:val="false"/>
          <w:caps w:val="false"/>
          <w:smallCaps w:val="false"/>
          <w:color w:val="000000"/>
          <w:spacing w:val="-2"/>
          <w:sz w:val="20"/>
        </w:rPr>
        <w:t xml:space="preserve"> gene, which lead to the toxic accumulation of vitamin A byproducts in the eye. Retinol binding protein 4 (“RBP4”) serves as the primary carrier of retinol, a form of vitamin A, that transports retinol from the liver to the eye. Consistent with our strategy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of pursuing validated targets, inhibition of RBP4 is a clinically validated mechanism for the treatment of Stargardt disease. CITY-RBP4 targets RBP4 in the liver to reduce the toxic accumulation of vitamin A byproducts in the eye associated with disease progression.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 preclinical mouse model of Stargardt disease, CITY-RBP4 reduced ocular A2E, a major toxic vitamin A byproduct, to normal levels at therapeutically relevant doses. Further, in an NHP study, CITY-RBP4 demonstrated approximately 90% suppression of circulating vitamin A and RBP4 at dose levels of 3 mg/kg and 10 mg/kg. Additionally, CITY-RBP4’s long half-life, as supported by pharmacodynamic modeling data, suggests the potential for quarterly to biannual subcutaneous dosing in humans. We have filed an application in mid-2026 and plan to initiate a Phase 1 clinical trial for CITY-RBP4 in Stargardt disease in        . We are also exploring CITY-RBP4 in adjacent indications, including Geographic Atrophy (“GA”) secondary to age-related macular degeneration.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CITY-TFR2</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third program, CITY-TFR2, is an optimized GalNAc-conjugated siRNA therapeutic in development for anemia of chronic disease, which accounts for up to 40% of all anemias and affects more than five million people in the United States. Current therapies, including erythropoiesis-stimulating agents (“ESAs”) and hypoxia-inducible factor prolyl hydroxylase inhibitors (“HIF-PH inhibitors”), come with significant safety and efficacy limitations, and many patients become dependent on blood transfusions. Patients with anemia of chronic disease often experience debilitating fatigue, weakness, and reduced physical function that can significantly diminish their quality of life.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inflammatory states associated with anemia of chronic disease, hepcidin, the hormone that controls systemic iron, becomes elevated, restricting iron availability and starving red blood cell production, thereby causing anemia. CITY-TFR2 targets transferrin receptor 2 (“TFR2”), a protein predominantly expressed in the liver that is critical in signaling pathways governing hepcidin production and is a compelling therapeutic target for anemia of chronic disease, supported by human genetics. By reducing TFR2 expression, CITY-TFR2 is designed to lower hepcidin levels, restore iron availability, and address a central driver of anemia in patients with anemia of chronic disease.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an NHP study, we demonstrated approximately 90% TFR2 mRNA knockdown that led to an increase in serum iron and transferrin saturation, with durations of action that suggest the potential for quarterly to biannual subcutaneous dosing in humans. Our current plan is to initially focus CITY-TFR2 on anemia associated with myelofibrosis, as anemia is a major contributor to the clinical burden of the disease. An investigator-initiated trial (“IIT”) for CITY-TFR2 in myelofibrosis-associated anemia is expected to begin in China in        , with a goal of demonstrating clinical proof-of-concept, and we plan to file an IND or IND-equivalent application by        and initiate a Phase 1 study for CITY-TFR2 in        . Beyond this initial indication, we see potential to expand into other chronic conditions in which hepcidin levels drive anemia with severe adverse outcomes, such as chronic kidney disease and chronic inflammatory disorders, including inflammatory bowel disease.</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Partnerships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formed strategic collaborations with Bausch + Lomb Ireland Limited (“Bausch + Lomb”) and Biogen MA Inc. (“Biogen”) to advance extrahepatic RNAi therapeutics for diseases of the eye and the central nervous system (“CNS”). We believe these partnerships validate our City Platform and expertise, as well as the potential of our next-generation RNAi trigger and delivery technologies. These arrangements also preserve our ability to pursue additional targets in the eye and CNS and retain the rights to any City Platform innovations developed from our work under the collaborations.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July 2024, we established a strategic collaboration with Bausch + Lomb, which is focused on the development of a novel therapy for the treatment of retinal diseases, including GA. The collaboration leverages our next-generation ligand delivery technologies to enable intravitreal administration for the development of a novel RNAi therapy directed against a specific disease target in the retina. We plan to substantially complete the research and development under the B+L Agreement by        to enable Bausch + Lomb to select a development candidate by        .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May 2025, we established a strategic collaboration with Biogen that combines our RNAi trigger technology with Biogen’s proprietary drug delivery technology to develop a novel systemic therapy for the treatment of certain CNS diseases. The collaboration initially focuses on a single target, with an option to designate one additional target for a separate collaboration and license agreement on substantially the same terms. We plan to substantially complete the research and development under the Biogen Agreement by        to enable Biogen to select a development candidate by        .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Discovery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Beyond our lead programs, we are progressing discovery candidates designed to expand the reach of RNAi therapeutics into new tissues, targets, and disease areas. We have a fourth liver-directed program, CITY-L04, with an undisclosed target as well as two discovery-stage programs based on our proprietary cleavage-inducing tiny RNAs (“cityRNAs”), which comprise CITY-O02 and CITY-C02 and are focused on the treatment of ocular and CNS indications, respectively. Our cityRNA triggers are approximately 30% shorter and carry less negative charge than traditional siRNAs. These properties offer several advantages including improved tissue penetration and cellular uptake that may increase potency, specificity and durability, while enabling delivery beyond the liver to other tissue types.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212" w:after="283"/>
        <w:jc w:val="center"/>
        <w:rPr>
          <w:caps w:val="false"/>
          <w:smallCaps w:val="false"/>
          <w:color w:val="000000"/>
        </w:rPr>
      </w:pPr>
      <w:r>
        <w:rPr>
          <w:caps w:val="false"/>
          <w:smallCaps w:val="false"/>
          <w:color w:val="000000"/>
        </w:rPr>
        <w:drawing>
          <wp:inline distT="0" distB="0" distL="0" distR="0">
            <wp:extent cx="5791200" cy="2524125"/>
            <wp:effectExtent l="0" t="0" r="0" b="0"/>
            <wp:docPr id="3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 descr=""/>
                    <pic:cNvPicPr>
                      <a:picLocks noChangeAspect="1" noChangeArrowheads="1"/>
                    </pic:cNvPicPr>
                  </pic:nvPicPr>
                  <pic:blipFill>
                    <a:blip r:embed="rId4"/>
                    <a:stretch>
                      <a:fillRect/>
                    </a:stretch>
                  </pic:blipFill>
                  <pic:spPr bwMode="auto">
                    <a:xfrm>
                      <a:off x="0" y="0"/>
                      <a:ext cx="5791200" cy="25241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62"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Platform</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City Platform is the engine behind every therapeutic we develop. Our City Platform is designed to integrate three core capabilities: RNAi trigger molecule engineering, novel delivery conjugates that allow for tissue selectivity, and target discovery and validation enabled by our insights into human genetics. Critical to every RNAi medicine is the trigger that harnesses the cellular RNAi machinery to silence a disease-relevant gene. We believe our expertise enables us to engineer the trigger molecule for unmatched potency and specificity, and our novel cityRNA triggers are a differentiated approach to unlock extrahepatic delivery. Our proprietary artificial intelligence and machine learning (“AI/ML”)-enabled trigger design capability uses a large RNAi activity dataset to predict high-potential trigger molecules in silico, accelerating design cycles from months to days. We conjugate our triggers with tissue-targeting ligands for precise delivery to cell types in and beyond the liver, starting with our proprietary LRP1 ligands, which are designed to enable delivery to ocular, CNS, and adipose cells. Our pipeline programs are selected through a genetics-led target discovery and validation capability that leverages insights from human biology and other sources of validation. We use this capability to identify differentiated and genetically de-risked targets where RNAi can confer a durable therapeutic advantage. By uniting these capabilities in a single platform, we believe we can systematically create and develop potentially best-in-class therapeutics that support our goal of filing one to two new IND or IND-equivalent applications per year.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Our Team and History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Defining the next generation of RNAi therapeutics requires a unique combination of scientific, clinical, and commercial expertise. We have assembled a team with deep experience across each of these disciplines. Collectively, our team at City has contributed to the discovery, development, or commercialization of seven of the eight currently FDA-approved RNAi therapeutics. The team at City has a proven track record of translating innovative science into transformative therapies. Members of our leadership team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John Maraganore, Ph.D.</w:t>
      </w:r>
      <w:r>
        <w:rPr>
          <w:rFonts w:ascii="Helvetica;Arial;sans-serif" w:hAnsi="Helvetica;Arial;sans-serif"/>
          <w:b/>
          <w:i w:val="false"/>
          <w:caps w:val="false"/>
          <w:smallCaps w:val="false"/>
          <w:color w:val="000000"/>
          <w:spacing w:val="-2"/>
          <w:sz w:val="20"/>
        </w:rPr>
        <w:t>,</w:t>
      </w:r>
      <w:r>
        <w:rPr>
          <w:rFonts w:ascii="Helvetica;Arial;sans-serif" w:hAnsi="Helvetica;Arial;sans-serif"/>
          <w:b w:val="false"/>
          <w:i w:val="false"/>
          <w:caps w:val="false"/>
          <w:smallCaps w:val="false"/>
          <w:color w:val="000000"/>
          <w:spacing w:val="-2"/>
          <w:sz w:val="20"/>
        </w:rPr>
        <w:t xml:space="preserve"> our Executive Chair, is one of our co-founders and is a pioneer in the field of RNAi therapeutics. Dr. Maraganore was the founding Chief Executive Officer and a Director of Alnylam, which he led for nearly 20 years. At Alnylam, Dr. Maraganore built and led the company from early platform research through global approval and commercialization of the first five RNAi therapeutics, including ONPATTRO, GIVLAARI, OXLUMO, LEQVIO, and AMVUTTRA. At Alnylam, he led the company’s value creation strategy, raising over $7.5 billion in capital, forming over 20 major pharmaceutical alliances, and creating over $25 billion in market capitalization and one of the biotechnology industry’s top companies. Prior to Alnylam, Dr. Maraganore held senior leadership roles at Millennium Pharmaceuticals and at Biogen, where he invented and led the discovery and development of ANGIOMAX (bivalirudin). </w:t>
      </w:r>
      <w:r>
        <mc:AlternateContent>
          <mc:Choice Requires="wps">
            <w:drawing>
              <wp:anchor behindDoc="0" distT="73660" distB="0" distL="25400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right"/>
                <wp:docPr id="348"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Andrew (Andy) Orth, M.B.A.</w:t>
      </w:r>
      <w:r>
        <w:rPr>
          <w:rFonts w:ascii="Helvetica;Arial;sans-serif" w:hAnsi="Helvetica;Arial;sans-serif"/>
          <w:b/>
          <w:i w:val="false"/>
          <w:caps w:val="false"/>
          <w:smallCaps w:val="false"/>
          <w:color w:val="000000"/>
          <w:spacing w:val="-2"/>
          <w:sz w:val="20"/>
        </w:rPr>
        <w:t>,</w:t>
      </w:r>
      <w:r>
        <w:rPr>
          <w:rFonts w:ascii="Helvetica;Arial;sans-serif" w:hAnsi="Helvetica;Arial;sans-serif"/>
          <w:b w:val="false"/>
          <w:i w:val="false"/>
          <w:caps w:val="false"/>
          <w:smallCaps w:val="false"/>
          <w:color w:val="000000"/>
          <w:spacing w:val="-2"/>
          <w:sz w:val="20"/>
        </w:rPr>
        <w:t xml:space="preserve"> our President and Chief Executive Officer, is a seasoned life sciences executive with more than 25 years of experience developing and commercializing novel medicines. Mr. Orth held multiple leadership roles at Alnylam, including Senior Vice President, U.S. Region, where he led Alnylam’s U.S. business and launched ONPATTRO, the first-ever RNAi therapeutic, followed by the launches of GIVLAARI and OXLUMO. Most recently, Mr. Orth served as Chief Commercial Officer of Krystal Biotech, where he led corporate strategy and growth, and oversaw the global commercialization and launch of VYJUVEK.</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right"/>
                <wp:docPr id="349" name="Frame3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Baisong Mei, M.D., Ph.D.</w:t>
      </w:r>
      <w:r>
        <w:rPr>
          <w:rFonts w:ascii="Helvetica;Arial;sans-serif" w:hAnsi="Helvetica;Arial;sans-serif"/>
          <w:b/>
          <w:i w:val="false"/>
          <w:caps w:val="false"/>
          <w:smallCaps w:val="false"/>
          <w:color w:val="000000"/>
          <w:spacing w:val="-2"/>
          <w:sz w:val="20"/>
        </w:rPr>
        <w:t>,</w:t>
      </w:r>
      <w:r>
        <w:rPr>
          <w:rFonts w:ascii="Helvetica;Arial;sans-serif" w:hAnsi="Helvetica;Arial;sans-serif"/>
          <w:b w:val="false"/>
          <w:i w:val="false"/>
          <w:caps w:val="false"/>
          <w:smallCaps w:val="false"/>
          <w:color w:val="000000"/>
          <w:spacing w:val="-2"/>
          <w:sz w:val="20"/>
        </w:rPr>
        <w:t xml:space="preserve"> our Chief Medical Officer, is an experienced drug developer with over 25 years of industry experience and a strong track record of bringing innovative medicines through clinical development to regulatory approval. Dr. Mei played a critical leadership role in the development and regulatory approval of ALPROLIX, ELOCTATE, ALTUVIIIO, and the siRNA medicine QFITLIA. Dr. Mei is also a co-inventor of JIVI and ALTUVIIIO. Dr. Mei was previously Executive Vice President and Chief Medical Officer at Editas Medicine, Senior Global Project Head in rare disease and rare blood disorders at Sanofi (where he led Sanofi’s collaboration with Alnylam on siRNA drug clinical development) and Therapeutic Area Head for Hematology Clinical Development at Biogen.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71">
                <wp:simplePos x="0" y="0"/>
                <wp:positionH relativeFrom="column">
                  <wp:align>left</wp:align>
                </wp:positionH>
                <wp:positionV relativeFrom="line">
                  <wp:align>top</wp:align>
                </wp:positionV>
                <wp:extent cx="254000" cy="350520"/>
                <wp:effectExtent l="0" t="0" r="0" b="0"/>
                <wp:wrapSquare wrapText="right"/>
                <wp:docPr id="350"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Tracy Zimmermann, Ph.D.</w:t>
      </w:r>
      <w:r>
        <w:rPr>
          <w:rFonts w:ascii="Helvetica;Arial;sans-serif" w:hAnsi="Helvetica;Arial;sans-serif"/>
          <w:b/>
          <w:i w:val="false"/>
          <w:caps w:val="false"/>
          <w:smallCaps w:val="false"/>
          <w:color w:val="000000"/>
          <w:spacing w:val="-2"/>
          <w:sz w:val="20"/>
        </w:rPr>
        <w:t>,</w:t>
      </w:r>
      <w:r>
        <w:rPr>
          <w:rFonts w:ascii="Helvetica;Arial;sans-serif" w:hAnsi="Helvetica;Arial;sans-serif"/>
          <w:b w:val="false"/>
          <w:i w:val="false"/>
          <w:caps w:val="false"/>
          <w:smallCaps w:val="false"/>
          <w:color w:val="000000"/>
          <w:spacing w:val="-2"/>
          <w:sz w:val="20"/>
        </w:rPr>
        <w:t xml:space="preserve"> our Chief Scientific Officer, has more than 25 years of experience in drug development and has deep expertise in developing nucleic acid-based therapeutic platforms, including RNAi-based therapies. Dr. Zimmermann spent 15 years at Alnylam, culminating in her role as Senior Director, Research, where she oversaw numerous research roles spanning RNAi platform enablement to early program development. Dr. Zimmermann was the lead author of a landmark 2006 study, published in </w:t>
      </w:r>
      <w:r>
        <w:rPr>
          <w:rFonts w:ascii="Helvetica;Arial;sans-serif" w:hAnsi="Helvetica;Arial;sans-serif"/>
          <w:b w:val="false"/>
          <w:i/>
          <w:caps w:val="false"/>
          <w:smallCaps w:val="false"/>
          <w:color w:val="000000"/>
          <w:spacing w:val="-2"/>
          <w:sz w:val="20"/>
        </w:rPr>
        <w:t>Nature</w:t>
      </w:r>
      <w:r>
        <w:rPr>
          <w:rFonts w:ascii="Helvetica;Arial;sans-serif" w:hAnsi="Helvetica;Arial;sans-serif"/>
          <w:b w:val="false"/>
          <w:i w:val="false"/>
          <w:caps w:val="false"/>
          <w:smallCaps w:val="false"/>
          <w:color w:val="000000"/>
          <w:spacing w:val="-2"/>
          <w:sz w:val="20"/>
        </w:rPr>
        <w:t>, demonstrating the first RNAi silencing in NHPs, which was cited over 1,400 times. Dr. Zimmermann was critical to the discovery of AMVUTTRA, including as a co-inventor, and served as its Program Lead through early clinical development. Dr. Zimmermann further contributed to the advancement of ONPATTRO and GIVLAARI. Dr. Zimmermann previously served as Chief Development Officer at Generation Bio, where she led the pharmacology, toxicology, and DMPK groups to advance the company’s non-viral gene therapy platform from research into preclinical development for liver and extrahepatic indications.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72">
                <wp:simplePos x="0" y="0"/>
                <wp:positionH relativeFrom="column">
                  <wp:align>left</wp:align>
                </wp:positionH>
                <wp:positionV relativeFrom="line">
                  <wp:align>top</wp:align>
                </wp:positionV>
                <wp:extent cx="254000" cy="350520"/>
                <wp:effectExtent l="0" t="0" r="0" b="0"/>
                <wp:wrapSquare wrapText="right"/>
                <wp:docPr id="351" name="Frame3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Sebastian Trousil, Ph.D.</w:t>
      </w:r>
      <w:r>
        <w:rPr>
          <w:rFonts w:ascii="Helvetica;Arial;sans-serif" w:hAnsi="Helvetica;Arial;sans-serif"/>
          <w:b/>
          <w:i w:val="false"/>
          <w:caps w:val="false"/>
          <w:smallCaps w:val="false"/>
          <w:color w:val="000000"/>
          <w:spacing w:val="-2"/>
          <w:sz w:val="20"/>
        </w:rPr>
        <w:t>,</w:t>
      </w:r>
      <w:r>
        <w:rPr>
          <w:rFonts w:ascii="Helvetica;Arial;sans-serif" w:hAnsi="Helvetica;Arial;sans-serif"/>
          <w:b w:val="false"/>
          <w:i w:val="false"/>
          <w:caps w:val="false"/>
          <w:smallCaps w:val="false"/>
          <w:color w:val="000000"/>
          <w:spacing w:val="-2"/>
          <w:sz w:val="20"/>
        </w:rPr>
        <w:t xml:space="preserve"> our Chief Operating Officer, is one of our co-founders and a life sciences executive with extensive experience leading corporate operations, business development, and finance. Dr. Trousil previously worked at RTW Investments and Flagship Pioneering, where he led multiple company creation efforts at both firms. During his time at RTW, Dr. Trousil served as Chief Operating Officer at Yarrow Biotechnology. Dr. Trousil is a co-founder of Harbinger Health, a liquid biopsy company for early cancer detection, which he led from initiation to early proof-of-concept.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73">
                <wp:simplePos x="0" y="0"/>
                <wp:positionH relativeFrom="column">
                  <wp:align>left</wp:align>
                </wp:positionH>
                <wp:positionV relativeFrom="line">
                  <wp:align>top</wp:align>
                </wp:positionV>
                <wp:extent cx="254000" cy="350520"/>
                <wp:effectExtent l="0" t="0" r="0" b="0"/>
                <wp:wrapSquare wrapText="right"/>
                <wp:docPr id="352" name="Frame3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our inception, we have raised approximately $238.5 million in equity capital from a syndicate of premier life sciences investors, including ARCH Venture Partners, Fidelity Management &amp; Research Company, Invus, Viking Global Investors, Slate Path Capital, AN Venture Partners, Altitude Life Science Ventures, Sofinnova Investments, Rock Springs Capital, Regeneron Ventures, and RTW Investments. Prospective investors should not rely on the investment decisions of our existing investors, as these investors may have different risk tolerances and, in certain cases, have received their shares in private financings at prices lower than the price offered to the public in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Our Strategy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pioneering the next generation of RNAi therapeutics, leveraging our deep scientific expertise and proprietary platform to discover and develop potentially best-in-class therapeutics. Our goal is to build a sustainable, fully integrated RNAi company capable of delivering transformative therapies across a broad range of diseases. As key elements of our strategy, we intend to:</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Pioneer the future of RNAi trigger design and delivery.</w:t>
      </w:r>
      <w:r>
        <w:rPr>
          <w:rFonts w:ascii="Helvetica;Arial;sans-serif" w:hAnsi="Helvetica;Arial;sans-serif"/>
          <w:b w:val="false"/>
          <w:i w:val="false"/>
          <w:caps w:val="false"/>
          <w:smallCaps w:val="false"/>
          <w:color w:val="000000"/>
          <w:spacing w:val="-2"/>
          <w:sz w:val="20"/>
        </w:rPr>
        <w:t>   We intend to lead the next wave of RNAi innovation by continually advancing how RNAi therapeutics are designed and delivered. Through innovations in trigger molecule design and delivery, including with our proprietary cityRNA triggers, we are pioneering new approaches that aim to improve potency and specificity. This will enable our reach of targets beyond the liver and expand the range of tissues and diseases addressable by RNAi therapeutics. Our City Platform is designed to integrate these capabilities with the aim of overcoming longstanding challenges in the field and further expand the reach and impact of RNAi therapeutics both in and beyond the liver.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74">
                <wp:simplePos x="0" y="0"/>
                <wp:positionH relativeFrom="column">
                  <wp:align>left</wp:align>
                </wp:positionH>
                <wp:positionV relativeFrom="line">
                  <wp:align>top</wp:align>
                </wp:positionV>
                <wp:extent cx="254000" cy="350520"/>
                <wp:effectExtent l="0" t="0" r="0" b="0"/>
                <wp:wrapSquare wrapText="right"/>
                <wp:docPr id="353" name="Frame3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Advance development candidates in high unmet medical need indications where RNAi is the optimal modality.</w:t>
      </w:r>
      <w:r>
        <w:rPr>
          <w:rFonts w:ascii="Helvetica;Arial;sans-serif" w:hAnsi="Helvetica;Arial;sans-serif"/>
          <w:b w:val="false"/>
          <w:i w:val="false"/>
          <w:caps w:val="false"/>
          <w:smallCaps w:val="false"/>
          <w:color w:val="000000"/>
          <w:spacing w:val="-2"/>
          <w:sz w:val="20"/>
        </w:rPr>
        <w:t>   We are committed to progressing our pipeline of potentially best-in-class therapeutics across a range of indications of high unmet medical need where RNAi therapeutics can deliver meaningful benefit. By targeting diseases including thromboembolic diseases, Stargardt disease, and anemia of chronic diseases, we aim to maximize the therapeutic impact and commercial potential of our programs by addressing meaningful gaps in patient care. Our lead product candidate, CITY-FXI, is currently in a Phase 1 clinical trial and we expect to report additional SAD cohort data in         . In addition, we have filed an application for CITY-RBP4 in mid-2026 to initiate a Phase 1 clinical study in        to evaluate its safety, tolerability, pharmacokinetics, and pharmacodynamics in healthy volunteers and Stargardt patients. We also are continuing to advance CITY-TFR2 towards the clinic and intend to file an IND or IND-equivalent application in          and initiate a Phase 1 clinical study in         .</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75">
                <wp:simplePos x="0" y="0"/>
                <wp:positionH relativeFrom="column">
                  <wp:align>left</wp:align>
                </wp:positionH>
                <wp:positionV relativeFrom="line">
                  <wp:align>top</wp:align>
                </wp:positionV>
                <wp:extent cx="254000" cy="350520"/>
                <wp:effectExtent l="0" t="0" r="0" b="0"/>
                <wp:wrapSquare wrapText="right"/>
                <wp:docPr id="354" name="Frame3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Selectively pursue value-accretive partnerships to maximize the value of our portfolio.</w:t>
      </w:r>
      <w:r>
        <w:rPr>
          <w:rFonts w:ascii="Helvetica;Arial;sans-serif" w:hAnsi="Helvetica;Arial;sans-serif"/>
          <w:b w:val="false"/>
          <w:i w:val="false"/>
          <w:caps w:val="false"/>
          <w:smallCaps w:val="false"/>
          <w:color w:val="000000"/>
          <w:spacing w:val="-2"/>
          <w:sz w:val="20"/>
        </w:rPr>
        <w:t>   While our primary focus is the rapid and successful advancement and commercialization of our wholly-owned pipeline, we also plan to continue selectively engaging in strategic partnerships that enable us to maximize the value and reach of our portfolio. Our existing collaborations with Bausch + Lomb and Biogen exemplify this approach. We plan to continue to evaluate additional collaboration, licensing, and partnership opportunities that allow us to accelerate development, access complementary capabilities, and expand our reach. At the same time, we intend to retain development and commercial rights to programs we believe we can successfully commercialize on our own, if approved.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76">
                <wp:simplePos x="0" y="0"/>
                <wp:positionH relativeFrom="column">
                  <wp:align>left</wp:align>
                </wp:positionH>
                <wp:positionV relativeFrom="line">
                  <wp:align>top</wp:align>
                </wp:positionV>
                <wp:extent cx="254000" cy="350520"/>
                <wp:effectExtent l="0" t="0" r="0" b="0"/>
                <wp:wrapSquare wrapText="right"/>
                <wp:docPr id="355" name="Frame3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Bring exceptional depth of experience to accelerate and expand our pipeline.   </w:t>
      </w:r>
      <w:r>
        <w:rPr>
          <w:rFonts w:ascii="Helvetica;Arial;sans-serif" w:hAnsi="Helvetica;Arial;sans-serif"/>
          <w:b w:val="false"/>
          <w:i w:val="false"/>
          <w:caps w:val="false"/>
          <w:smallCaps w:val="false"/>
          <w:color w:val="000000"/>
          <w:spacing w:val="-2"/>
          <w:sz w:val="20"/>
        </w:rPr>
        <w:t xml:space="preserve">Collectively, our team at City has contributed to the discovery, development, or commercialization of seven of the eight currently FDA-approved RNAi therapeutics, and 75% of our research leaders have prior RNAi therapeutics discovery or development experience. Since founding our company in July 2023, we have advanced three potentially best-in-class programs into the clinic or toward planned clinical entry in        . As a team of RNAi pioneers, we intend to advance the next generation of RNAi therapeutics. We combine deep expertise with the ambition to define the future of the field, and we believe our collective experience makes us uniquely positioned to navigate the scientific, regulatory, and commercial complexities of developing RNAi therapeutics efficiently and effectively. We believe our expertise and disciplined </w:t>
      </w:r>
      <w:r>
        <mc:AlternateContent>
          <mc:Choice Requires="wps">
            <w:drawing>
              <wp:anchor behindDoc="0" distT="76200" distB="0" distL="254000" distR="0" simplePos="0" locked="0" layoutInCell="1" allowOverlap="1" relativeHeight="377">
                <wp:simplePos x="0" y="0"/>
                <wp:positionH relativeFrom="column">
                  <wp:align>left</wp:align>
                </wp:positionH>
                <wp:positionV relativeFrom="line">
                  <wp:align>top</wp:align>
                </wp:positionV>
                <wp:extent cx="254000" cy="350520"/>
                <wp:effectExtent l="0" t="0" r="0" b="0"/>
                <wp:wrapSquare wrapText="right"/>
                <wp:docPr id="356" name="Frame3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execution, coupled with our platform technology, will enable us to deliver one to two new IND or IND-equivalent application filings per year.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Our Pipeline and Programs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advancing a pipeline of potentially best-in-class RNAi therapeutics designed to achieve potent, specific, and durable suppression of disease-relevant hepatic and extrahepatic targets to address diseases with significant unmet medical needs. Our three lead programs are optimized liver-directed siRNA therapeutic candidates in development for thromboembolic diseases, Stargardt disease, and anemia of chronic disease, where we believe disease biology supports RNAi-mediated knockdown as a differentiated approach compared to other modalities.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CITY-FXI</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intend to develop CITY-FXI for thromboembolic disease indications, including secondary stroke prevention, DOAC-ineligible AFib, extended secondary prophylaxis following VTE, and cancer-associated thrombosis, specifically in patients for whom DOACs are often not used because of heightened bleeding risk. The current standard of care for these diseases is anticoagulants, which represents a global market of approximately $37 billion in 2025 and is projected to reach approximately $56 billion by 2033. CITY-FXI is an optimized GalNAc-conjugated siRNA therapeutic candidate designed to suppress FXI — a genetically and clinically validated target that contributes to pathological thrombosis, or harmful blood clots, while playing a limited role in normal hemostasis. Initial data from two cohorts of our ongoing Phase 1 study in healthy volunteers showed greater than 60% FXI knockdown and close to 80% FXI knockdown after a single 15 mg or 50 mg subcutaneous dose, respectively, with a favorable safety profile, exceeding our preclinical predictions. We expect to report additional clinical data from our Phase 1 study in        . We then plan to initiate a Phase 2 trial in TKA to demonstrate clinical efficacy and safety.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Overview of Thromboembolic Diseases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Thromboembolic diseases occur when a blood clot, or thrombus, forms inside veins and arteries. If the thrombus breaks free and travels through the bloodstream to block another vessel, or embolism, the resulting obstruction restricts normal blood flow, preventing vital organs from receiving sufficient oxygen, potentially causing tissue damage or life-threatening emergencies. It is important to distinguish between two related but distinct processes: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Hemostasis is the normal physiological response to vascular injury, in which a coordinated sequence of events seals the breach in the vessel wall and arrests bleeding.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78">
                <wp:simplePos x="0" y="0"/>
                <wp:positionH relativeFrom="column">
                  <wp:align>left</wp:align>
                </wp:positionH>
                <wp:positionV relativeFrom="line">
                  <wp:align>top</wp:align>
                </wp:positionV>
                <wp:extent cx="254000" cy="350520"/>
                <wp:effectExtent l="0" t="0" r="0" b="0"/>
                <wp:wrapSquare wrapText="right"/>
                <wp:docPr id="357" name="Frame3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Thrombosis is a pathological process in which clots form inappropriately within an intact blood vessel, obstructing blood flow and potentially causing injury to downstream tissues.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79">
                <wp:simplePos x="0" y="0"/>
                <wp:positionH relativeFrom="column">
                  <wp:align>left</wp:align>
                </wp:positionH>
                <wp:positionV relativeFrom="line">
                  <wp:align>top</wp:align>
                </wp:positionV>
                <wp:extent cx="254000" cy="350520"/>
                <wp:effectExtent l="0" t="0" r="0" b="0"/>
                <wp:wrapSquare wrapText="right"/>
                <wp:docPr id="358" name="Frame3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Thromboembolic diseases represent a major global health burden associated with significant morbidity and mortality through conditions including AFib, myocardial infarction, coronary artery disease, VTE, stroke, and peripheral artery disease, among others. Globally, an estimated 40 to 50 million patients worldwide suffer from these conditions, highlighting a large and underserved patient population.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Secondary strokes lead to devastating outcomes for patients and place a significant burden on the healthcare system, given the high rates of disability, long-term cognitive decline, and mortality. Approximately 795,000 ischemic strokes occur annually in the United States, creating a large population of patients in need of secondary stroke prevention strategies. Currently, approximately 185,000 of these strokes are recurrent and stroke-related costs exceed $56 billion between 2019 and 2020 alone, underscoring the significant clinical and economic value of preventing recurrent events.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AFib, the most common sustained cardiac arrhythmia, is projected to affect approximately 12.1 million people in the United States by 2030. AFib is a leading cause of cardioembolic stroke and is estimated to account for approximately one in seven strokes. Current guidelines recommend oral anticoagulation for AFib patients with a moderate to high stroke risk, a population estimated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encompass approximately 80% of the diagnosed AFib population, or approximately 9.7 million patients in the United States by 2030. Despite the guideline recommendations, many patients remain untreated or under-treated due to contraindications, bleeding concerns, treatment burden, or challenges with long-term adherence. Data from a study of approximately 437,000 patients across nearly 90 U.S. health systems indicate that approximately one in three patients with AFib and an elevated stroke risk score are not receiving any oral anticoagulation. We estimate that the population of DOAC-ineligible and underserved AFib patients in the United States is approximately 3.2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Extended secondary prophylaxis following VTE represents another area of substantial unmet clinical need. VTE affects up to 900,000 people in the United States each year, contributing to an estimated 60,000 to 100,000 deaths annually. Patients who survive an initial VTE event face a meaningful risk of recurrence, with data indicating cumulative recurrence rates of approximately 20% to 30% at five years following a first unprovoked event. Current clinical guidelines recommend considering prolonged anticoagulation in patients for recurrent VTE following an initial event. Despite these recommendations, long-term adherence to currently available anticoagulants is frequently limited by concerns regarding bleeding risk and tolerability, leading many patients to discontinue therapy despite remaining at elevated risk for recurrent thromboembolic events. We estimate that approximately 250,000 to 350,000 patients in the United States remain untreated or under-treated despite having persistent risk factors.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Similarly, cancer-associated thrombosis represents a significant unmet medical need for patients who require antithrombotic protection but are particularly vulnerable to bleeding complications. Patients with active malignancies face an approximately four- to six-fold elevated risk of VTE compared to the general population, and VTE is recognized as the second leading cause of death in cancer patients. Approximately 20% of all VTE events occur in patients with cancer, yet currently available anticoagulants heighten the bleeding risk in oncology patients, particularly those with gastrointestinal or genitourinary cancers.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Current Standard of Care and Unmet Medical Need</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are multiple FDA-approved anticoagulants available for the prevention and treatment of certain types of thromboembolism; however, each class of anticoagulants shares a fundamental mechanistic limitation that constrains their clinical utility. DOACs, vitamin K antagonists, and low-molecular-weight heparins all act on factors within the coagulation cascade that are required for both pathological thrombosis and normal hemostasis. As a result, the anticoagulant activity of these agents is inherently coupled with an increase in bleeding risk.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Elevated bleeding risk precludes some patients from treatment with DOACs, the predominant anticoagulant class, including frail elderly patients, individuals with chronic kidney disease, patients with active cancer, and those requiring concomitant antiplatelet therapy. Clinical guidelines recognize the challenges of balancing thrombotic risk and bleeding risk in these patient populations. Patient advocacy groups suggest that even seemingly minor adverse reactions, such as bruising or hematuria frequently lead to treatment discontinuation of DOACs. This dynamic may be further exacerbated by the long-term preventative nature of treatment, as the benefit of avoiding a clot is often not directly appreciated by patients in daily life. Additional limitations include dependence on renal clearance, incomplete reversibility, and the need for frequent dosing or laboratory monitoring, each of which can impair adherence. These constraints contribute to undertreatment and dose interruptions. In addition, current anticoagulants are often inadequate for managing thrombosis on artificial surfaces, such as heart valves and catheters, as they lack the mechanistic specificity to prevent device-induced clots without significantly increasing the risk of life-threatening systemic bleeding.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Consequently, there is an urgent and growing need for anticoagulation strategies that can address the bleeding risk associated with current standard of care. We believe that selective inhibition of FXI offers a genetically and clinically validated approach to address pathological thrombosis while preserving normal hemostasis, potentially uncoupling antithrombotic efficacy from bleeding risk and enabling a safer, more effective, and durable treatment option for patients, including those who may be ineligible for current anticoagulants.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Mechanism of Action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u w:val="single"/>
        </w:rPr>
        <w:t>The Coagulation Cascade and FXI Biology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FXI is a plasma serine protease that we believe is uniquely positioned in the coagulation cascade where it is key to pathological thrombosis while playing a limited role in normal hemostasis. This distinctive profile makes it an attractive therapeutic target for anticoagulation strategies that aim to prevent clot formation without significantly increasing bleeding risk.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distinct biology of FXI within the coagulation cascade enables what we believe is a clinically meaningful uncoupling of the body’s protective hemostatic response from the pathological thrombotic process. This separation has not been achieved with current anticoagulants. In healthy coagulation, FXI plays a supporting amplification role: It contributes to clot reinforcement and stability through slow, sustained thrombin generation but is largely dispensable for the rapid, robust hemostatic response required to seal vascular injury (as shown in Figure 1). In normal hemostasis, tissue factor is exposed after vessel injury, triggering strong thrombin generation through the extrinsic pathway, and FXI is not essential for initiating or sustaining clot formation. In contrast, thrombosis occurs primarily within intact vessels and often at sites of plaque rupture, where low levels of tissue factor generate insufficient thrombin to form a clot on their own. Under these conditions, FXI is required to amplify the thrombotic response through a positive feedback loop that drives pathological thrombus formation. Our rationale for selecting FXI as a therapeutic target is because of its central role in pathological thrombosis and limited role in hemostasis and for CITY-FXI to uncouple antithrombotic efficacy from bleeding risk.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 Differential role of FXI in hemostasis and thrombosis.</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553075" cy="2362200"/>
            <wp:effectExtent l="0" t="0" r="0" b="0"/>
            <wp:docPr id="35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4" descr=""/>
                    <pic:cNvPicPr>
                      <a:picLocks noChangeAspect="1" noChangeArrowheads="1"/>
                    </pic:cNvPicPr>
                  </pic:nvPicPr>
                  <pic:blipFill>
                    <a:blip r:embed="rId5"/>
                    <a:stretch>
                      <a:fillRect/>
                    </a:stretch>
                  </pic:blipFill>
                  <pic:spPr bwMode="auto">
                    <a:xfrm>
                      <a:off x="0" y="0"/>
                      <a:ext cx="5553075" cy="2362200"/>
                    </a:xfrm>
                    <a:prstGeom prst="rect">
                      <a:avLst/>
                    </a:prstGeom>
                  </pic:spPr>
                </pic:pic>
              </a:graphicData>
            </a:graphic>
          </wp:inline>
        </w:drawing>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FIX: Factor IX; FV: Factor V; FVII: Factor VII; FVIII: Factor VIII; FX, Factor X; and TF: Tissue factor.</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6360" distB="0" distL="0" distR="0" simplePos="0" locked="0" layoutInCell="1" allowOverlap="1" relativeHeight="380">
                <wp:simplePos x="0" y="0"/>
                <wp:positionH relativeFrom="column">
                  <wp:align>left</wp:align>
                </wp:positionH>
                <wp:positionV relativeFrom="line">
                  <wp:align>top</wp:align>
                </wp:positionV>
                <wp:extent cx="254000" cy="233680"/>
                <wp:effectExtent l="0" t="0" r="0" b="0"/>
                <wp:wrapSquare wrapText="right"/>
                <wp:docPr id="360" name="Frame35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Source: Chan and Weitz, Arterioscler Thromb Vasc Biol. 2023.</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8260" distB="0" distL="0" distR="0" simplePos="0" locked="0" layoutInCell="1" allowOverlap="1" relativeHeight="381">
                <wp:simplePos x="0" y="0"/>
                <wp:positionH relativeFrom="column">
                  <wp:align>left</wp:align>
                </wp:positionH>
                <wp:positionV relativeFrom="line">
                  <wp:align>top</wp:align>
                </wp:positionV>
                <wp:extent cx="254000" cy="233680"/>
                <wp:effectExtent l="0" t="0" r="0" b="0"/>
                <wp:wrapSquare wrapText="right"/>
                <wp:docPr id="361" name="Frame35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biological uncoupling of thrombosis from hemostasis is supported by human genetic and epidemiological evidence. Individuals with congenital FXI deficiency, including those with severe deficiency (less than 15% of normal activity), rarely experience spontaneous bleeding. When bleeding does occur, it is typically mild and provoked by trauma or surgical procedures, particularly in the oral cavity, nasal passages, and urinary tract. Epidemiological studies further link low FXI activity or antigen levels to reduced risk of thrombotic events. Patients with FXI activity below 50% of normal show significantly lower incidence of ischemic stroke, transient ischemic attack, myocardial infarction, and VTE compared to those with higher FXI levels. Conversely, elevated FXI levels have been associated with increased risk of thrombotic disorders including VTE and ischemic stroke. This natural occurrence in human physiology provides compelling evidence that suppression of FXI can reduce thrombotic risk without compromising baseline hemostatic function. Therapeutic intervention in the FXI pathway for management of thrombosis risk is supported by consistent clinical data, with several therapeutic strategies for FXI inhibition currently under clinical investigation.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DOACs target either Factor Xa or thrombin, which are central nodes of both the hemostatic and thrombosis pathways. By contrast, CITY-FXI targets an upstream amplification step in the coagulation cascade that plays a limited role in physiological hemostasis and is therefore intended to provide antithrombotic efficacy with a substantially safer bleeding profile. FXI-targeted inhibition may be suitable for prolonged use and in patients for whom current anticoagulants are contraindicated or associated with prohibitive bleeding risk, such as the elderly, those with chronic kidney disease, or oncology patients undergoing chemotherapy.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u w:val="single"/>
        </w:rPr>
        <w:t>Novel Approaches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FXI inhibition has emerged as one of the most actively pursued areas of cardiovascular drug development, reflecting the scientific consensus that upstream targeting of the thrombosis coagulation pathway may enable the separation of antithrombotic efficacy from bleeding liability. There are currently no approved therapeutics that directly target FXI, however, several candidates are in clinical development, including milvexian, asundexian, abelacimab, REGN7508, REGN9933, and CTX-611. Phase 2 and Phase 3 data for other FXI agents have established proof-of-concept by reducing thrombotic risk without elevating bleeding risk.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majority of clinical-stage FXI inhibitors fall under the categories of small molecules and antibodies, though both are mechanistically distinct from FXI knockdown by RNAi and carry limitations compared to CITY-FXI’s mechanism of action (as shown in Figure 2). CITY-FXI reduces hepatic production of FXI, resulting in depletion of the circulating FXI protein and broad suppression of FXI-mediated activity. By reducing the protein itself rather than inhibiting a specific functional site, this approach is designed to inhibit all known FXI functions and more closely recapitulates the protective phenotype observed in individuals with genetically reduced FXI levels.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contrast, small-molecule FXI inhibitors generally target the catalytic activity of activated FXI (FXIa) and therefore inhibit only a subset of FXI-mediated biological functions. As a result, these agents may not fully block non-catalytic FXI interactions that contribute to thrombin generation and coagulation pathway amplification.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Similarly, anti-FXI antibodies are designed to inhibit specific FXI functions, including zymogen activation (the conversion of an inactive precursor into its active form) or enzymatic activity, depending on their binding site and mechanism of action. The degree of pathway inhibition varies based on target engagement and binding affinity, and is often relatively short lived.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the broader and more durable suppression of FXI achieved with CITY-FXI offers the potential for more complete pathway inhibition and favorable efficacy, safety, and dosing.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2: FXI knockdown is categorically different than small molecules and antibodies.</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791200" cy="2209800"/>
            <wp:effectExtent l="0" t="0" r="0" b="0"/>
            <wp:docPr id="36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5" descr=""/>
                    <pic:cNvPicPr>
                      <a:picLocks noChangeAspect="1" noChangeArrowheads="1"/>
                    </pic:cNvPicPr>
                  </pic:nvPicPr>
                  <pic:blipFill>
                    <a:blip r:embed="rId6"/>
                    <a:stretch>
                      <a:fillRect/>
                    </a:stretch>
                  </pic:blipFill>
                  <pic:spPr bwMode="auto">
                    <a:xfrm>
                      <a:off x="0" y="0"/>
                      <a:ext cx="5791200" cy="22098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0"/>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u w:val="single"/>
        </w:rPr>
        <w:t>Overview of CITY-FXI</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CITY-FXI is designed to specifically and effectively suppress FXI at the mRNA level, resulting in near-complete elimination of the protein. CITY-FXI is an optimized GalNAc-conjugated siRNA therapeutic candidate designed to selectively engage the asialoglycoprotein receptor (“ASGPR”) on hepatocytes for intracellular delivery. Once internalized, CITY-FXI is designed to suppress hepatic expression of </w:t>
      </w:r>
      <w:r>
        <w:rPr>
          <w:rFonts w:ascii="Helvetica;Arial;sans-serif" w:hAnsi="Helvetica;Arial;sans-serif"/>
          <w:b w:val="false"/>
          <w:i/>
          <w:caps w:val="false"/>
          <w:smallCaps w:val="false"/>
          <w:color w:val="000000"/>
          <w:spacing w:val="-2"/>
          <w:sz w:val="20"/>
        </w:rPr>
        <w:t>F11</w:t>
      </w:r>
      <w:r>
        <w:rPr>
          <w:rFonts w:ascii="Helvetica;Arial;sans-serif" w:hAnsi="Helvetica;Arial;sans-serif"/>
          <w:b w:val="false"/>
          <w:i w:val="false"/>
          <w:caps w:val="false"/>
          <w:smallCaps w:val="false"/>
          <w:color w:val="000000"/>
          <w:spacing w:val="-2"/>
          <w:sz w:val="20"/>
        </w:rPr>
        <w:t xml:space="preserve"> mRNA (the messenger RNA transcript encoding the FXI protein) via RNAi, resulting in highly selective and durable suppression of hepatic FXI synthesis.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clinical viability of GalNAc-siRNA therapy has been demonstrated for several approved RNAi drugs, including LEQVIO, AMVUTTRA, GIVLAARI, OXLUMO, RIVFLOZA, QFITLIA, and TRYNGOLZA. We believe CITY-FXI combines a genetically and clinically validated target with an optimized RNAi trigger and a proven GalNAc delivery approach, positioning it as a potentially best-in-class therapy anticipated to deliver a potent, specific, and durable antithrombotic effect while preserving normal hemostatic function.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u w:val="single"/>
        </w:rPr>
        <w:t>Preclinical Data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CITY-FXI has demonstrated compelling preclinical data supporting its development as an anticoagulation treatment targeting FXI. In NHPs, a single subcutaneous dose of CITY-FXI produced sustained, dose-dependent plasma FXI suppression exceeding 95% at 10 mg/kg, with maximal suppression typically occurring between Days 21 and 28. This translated into durable pharmacodynamic activity, as reflected by prolongation of activated partial thromboplastin time (“aPTT”), a measure of blood clotting time, consistent with the expected effect of FXI suppression on the thrombosis pathway. Maximum mean aPTT fold increases over baseline reached 1.28, 1.46, and 1.67 at 1 mg/kg, 3 mg/kg, and 10 mg/kg subcutaneous, respectively, with effects lasting up to 13 weeks (as shown in Figure 3).</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3: 95% FXI knockdown in NHP with prolonged clotting time upon single subcutaneous dose of CITY-FXI.</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95925" cy="2552700"/>
            <wp:effectExtent l="0" t="0" r="0" b="0"/>
            <wp:docPr id="36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6" descr=""/>
                    <pic:cNvPicPr>
                      <a:picLocks noChangeAspect="1" noChangeArrowheads="1"/>
                    </pic:cNvPicPr>
                  </pic:nvPicPr>
                  <pic:blipFill>
                    <a:blip r:embed="rId7"/>
                    <a:stretch>
                      <a:fillRect/>
                    </a:stretch>
                  </pic:blipFill>
                  <pic:spPr bwMode="auto">
                    <a:xfrm>
                      <a:off x="0" y="0"/>
                      <a:ext cx="5495925" cy="25527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The overall nonclinical package for CITY-FXI demonstrated potent, selective, and durable RNAi-mediated suppression of hepatic </w:t>
      </w:r>
      <w:r>
        <w:rPr>
          <w:rFonts w:ascii="Helvetica;Arial;sans-serif" w:hAnsi="Helvetica;Arial;sans-serif"/>
          <w:b w:val="false"/>
          <w:i/>
          <w:caps w:val="false"/>
          <w:smallCaps w:val="false"/>
          <w:color w:val="000000"/>
          <w:spacing w:val="-2"/>
          <w:sz w:val="20"/>
        </w:rPr>
        <w:t>F11</w:t>
      </w:r>
      <w:r>
        <w:rPr>
          <w:rFonts w:ascii="Helvetica;Arial;sans-serif" w:hAnsi="Helvetica;Arial;sans-serif"/>
          <w:b w:val="false"/>
          <w:i w:val="false"/>
          <w:caps w:val="false"/>
          <w:smallCaps w:val="false"/>
          <w:color w:val="000000"/>
          <w:spacing w:val="-2"/>
          <w:sz w:val="20"/>
        </w:rPr>
        <w:t xml:space="preserve"> mRNA expression and consequently circulating FXI protein, favorable pharmacokinetic and pharmacodynamic profiles, a lack of off-target transcriptional or genotoxic effects, and a generally well-tolerated preclinical safety profile that together established adequate safety margins and supported progression to first-in-human (“FIH”) dosing.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704"/>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u w:val="single"/>
        </w:rPr>
        <w:t>Clinical Data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first clinical trial of CITY-FXI is a Phase 1, dose-ranging, proof-of-biology trial designed to evaluate the safety, pharmacokinetics, and pharmacodynamics in three populations: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 A:   SAD trial in adult healthy volunteers, who will receive a single dose of CITY-FXI in one of three dose cohorts: 15 mg, 50 mg, or 150 mg. Each cohort will include eight participants; six will receive CITY-FXI and two will receive placebo.</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382">
                <wp:simplePos x="0" y="0"/>
                <wp:positionH relativeFrom="column">
                  <wp:align>left</wp:align>
                </wp:positionH>
                <wp:positionV relativeFrom="line">
                  <wp:align>top</wp:align>
                </wp:positionV>
                <wp:extent cx="254000" cy="350520"/>
                <wp:effectExtent l="0" t="0" r="0" b="0"/>
                <wp:wrapSquare wrapText="right"/>
                <wp:docPr id="364" name="Frame3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 B:   SAD trial in adult participants with inherited prothrombotic risk factors, such as Factor V Leiden (“FVL”) or the prothrombin G20210A mutation, who will receive CITY-FXI in one of up to three cohorts at higher dose levels starting at 300 mg. Each cohort will include eight participants; six will receive CITY-FXI and two will receive placebo.</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383">
                <wp:simplePos x="0" y="0"/>
                <wp:positionH relativeFrom="column">
                  <wp:align>left</wp:align>
                </wp:positionH>
                <wp:positionV relativeFrom="line">
                  <wp:align>top</wp:align>
                </wp:positionV>
                <wp:extent cx="254000" cy="350520"/>
                <wp:effectExtent l="0" t="0" r="0" b="0"/>
                <wp:wrapSquare wrapText="right"/>
                <wp:docPr id="365" name="Frame3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 C:   Adult participants with history of prior provoked VTE with enduring risk factors, with up to three dose cohorts to be informed by results of Part B. Each cohort will include nine participants; six will receive CITY-FXI and three will receive placebo.</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384">
                <wp:simplePos x="0" y="0"/>
                <wp:positionH relativeFrom="column">
                  <wp:align>left</wp:align>
                </wp:positionH>
                <wp:positionV relativeFrom="line">
                  <wp:align>top</wp:align>
                </wp:positionV>
                <wp:extent cx="254000" cy="350520"/>
                <wp:effectExtent l="0" t="0" r="0" b="0"/>
                <wp:wrapSquare wrapText="right"/>
                <wp:docPr id="366" name="Frame3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the time of this report, participants in cohort 1 and cohort 2 of Part A have been dosed. In each cohort, six healthy adults received a single subcutaneous dose of CITY-FXI (15 mg for cohort 1 and 50 mg for cohort 2). FXI knockdown at an average of 61% was observed in cohort 1, and an average of 79% FXI knockdown was observed in cohort 2, demonstrating CITY-FXI’s robust, dose-dependent response (as shown in Figure 4). CITY-FXI was generally well tolerated in all participants and demonstrated a favorable safety profile. No serious adverse events were observed and no stopping rules were met. The safety review committee approved dose escalation to cohort 3, where dosing for all participants has been completed.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4: FXI knockdown in healthy volunteers upon single dose of CITY-FXI.</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10100" cy="2171700"/>
            <wp:effectExtent l="0" t="0" r="0" b="0"/>
            <wp:docPr id="36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7" descr=""/>
                    <pic:cNvPicPr>
                      <a:picLocks noChangeAspect="1" noChangeArrowheads="1"/>
                    </pic:cNvPicPr>
                  </pic:nvPicPr>
                  <pic:blipFill>
                    <a:blip r:embed="rId8"/>
                    <a:stretch>
                      <a:fillRect/>
                    </a:stretch>
                  </pic:blipFill>
                  <pic:spPr bwMode="auto">
                    <a:xfrm>
                      <a:off x="0" y="0"/>
                      <a:ext cx="4610100" cy="2171700"/>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4"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Further, durable FXI suppression is projected with repeated CITY-FXI dosing. We have generated a pharmacokinetic/pharmacodynamic (“PKPD”) model based on the FXI suppression observed in NHPs following a single subcutaneous dose of CITY-FXI as well as the clinical experience of other GalNAc-conjugated siRNAs. Based on results from the Part A, cohort 1 and cohort 2 of the Phase 1 trial, our PKPD model projects sustained FXI suppression ≥98% with once every three months (“Q3M”) dosing and ≥94% with once every six months (“Q6M”) dosing, each at a dose of 300 mg (as shown in Figure 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5: Durable FXI suppression projected with repeat CITY-FXI dosing. Sustained ≥98% following Q3M and ≥94% following Q6M 300 mg of CITY-FXI based on initial clinical data.</w:t>
      </w:r>
      <w:r>
        <w:rPr>
          <w:rFonts w:ascii="Helvetica;Arial;sans-serif" w:hAnsi="Helvetica;Arial;sans-serif"/>
          <w:b/>
          <w:i w:val="false"/>
          <w:caps w:val="false"/>
          <w:smallCaps w:val="false"/>
          <w:color w:val="000000"/>
          <w:spacing w:val="4"/>
          <w:sz w:val="20"/>
        </w:rPr>
        <w:t xml:space="preserve"> </w:t>
      </w:r>
    </w:p>
    <w:p>
      <w:pPr>
        <w:pStyle w:val="TextBody"/>
        <w:bidi w:val="0"/>
        <w:spacing w:before="182" w:after="283"/>
        <w:jc w:val="center"/>
        <w:rPr>
          <w:caps w:val="false"/>
          <w:smallCaps w:val="false"/>
          <w:color w:val="000000"/>
        </w:rPr>
      </w:pPr>
      <w:r>
        <w:rPr>
          <w:caps w:val="false"/>
          <w:smallCaps w:val="false"/>
          <w:color w:val="000000"/>
        </w:rPr>
        <w:drawing>
          <wp:inline distT="0" distB="0" distL="0" distR="0">
            <wp:extent cx="5486400" cy="2047875"/>
            <wp:effectExtent l="0" t="0" r="0" b="0"/>
            <wp:docPr id="36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8" descr=""/>
                    <pic:cNvPicPr>
                      <a:picLocks noChangeAspect="1" noChangeArrowheads="1"/>
                    </pic:cNvPicPr>
                  </pic:nvPicPr>
                  <pic:blipFill>
                    <a:blip r:embed="rId9"/>
                    <a:stretch>
                      <a:fillRect/>
                    </a:stretch>
                  </pic:blipFill>
                  <pic:spPr bwMode="auto">
                    <a:xfrm>
                      <a:off x="0" y="0"/>
                      <a:ext cx="5486400" cy="20478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38"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Overall, both the clinical and nonclinical data demonstrated potent, selective, and durable RNAi-mediated suppression of FXI, favorable pharmacokinetic and pharmacodynamic profiles, lack of off-target transcriptional effects, and a tolerable safety profile that supports a potentially best-in-class therapy, if approved. We expect to release additional data from our Phase 1 trial in        . Given the significant market opportunity for CITY-FXI, the large-scale Phase 3 clinical trials expected to be required for regulatory approval, and the substantial commercialization resources required to support a potential launch, we expect to seek a collaboration partner for the asset prior to initiating Phase 3 development.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CITY-RBP4</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CITY-RBP4 is an optimized GalNAc-conjugated siRNA therapeutic candidate designed to target RBP4 mRNA for the treatment of retinal diseases characterized by the toxic accumulation of vitamin A byproducts. We are initially developing CITY-RBP4 to treat Stargardt disease, an inherited retinal disorder caused by mutations in the ABCA4 gene, which encodes the retinal-specific ATP-binding cassette transporter A4 responsible for clearing vitamin A byproducts from the retina. When ABCA4 function is impaired, these byproducts accumulate as toxic bisretinoids, leading to progressive retinal degeneration.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Inhibition of RBP4 is a clinically validated mechanism for Stargardt disease, and to our knowledge CITY-RBP4 is the first and only RNAi therapy in development aimed at inhibiting RBP4. By targeting and suppressing RBP4 mRNA in the liver, CITY-RBP4 aims to reduce vitamin A delivery to the eye and slow the progression of retinal damage associated with the disease. In a preclinical mouse model of Stargardt disease, the suppression of RBP4 through RNAi normalized ocular A2E, a major toxic vitamin A byproduct, to wild-type levels at therapeutically relevant doses. In an NHP study, CITY-RBP4 demonstrated approximately 90% suppression of circulating vitamin A and RBP4 at dose levels of 3 mg/kg and 10 mg/kg.</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filed an application for CITY-RBP4 in mid-2026 to initiate a Phase 1 clinical study in        to evaluate its safety, tolerability, pharmacokinetics, and pharmacodynamics in healthy volunteers and Stargardt patients.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Overview of Stargardt Disease Type 1</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Stargardt disease is an inherited macular degenerative disease and the leading inherited cause of central vision loss in children and young adults. More than 30,000 people in the United States are diagnosed with Stargardt disease, and some studies suggest that the prevalence is even higher, indicating there could be a significant number of undiagnosed patients who emerge upon FDA approval of a treatment.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Stargardt disease is an autosomal recessive disorder caused by mutations in the </w:t>
      </w:r>
      <w:r>
        <w:rPr>
          <w:rFonts w:ascii="Helvetica;Arial;sans-serif" w:hAnsi="Helvetica;Arial;sans-serif"/>
          <w:b w:val="false"/>
          <w:i/>
          <w:caps w:val="false"/>
          <w:smallCaps w:val="false"/>
          <w:color w:val="000000"/>
          <w:spacing w:val="-2"/>
          <w:sz w:val="20"/>
        </w:rPr>
        <w:t>ABCA4</w:t>
      </w:r>
      <w:r>
        <w:rPr>
          <w:rFonts w:ascii="Helvetica;Arial;sans-serif" w:hAnsi="Helvetica;Arial;sans-serif"/>
          <w:b w:val="false"/>
          <w:i w:val="false"/>
          <w:caps w:val="false"/>
          <w:smallCaps w:val="false"/>
          <w:color w:val="000000"/>
          <w:spacing w:val="-2"/>
          <w:sz w:val="20"/>
        </w:rPr>
        <w:t xml:space="preserve"> gene, causing progressive and irreversible vision loss usually beginning in early childhood, with the majority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of patients becoming legally blind in their late twenties. Onset typically occurs during critical periods of educational, vocational, and psychosocial development and results in increasing limitations in mobility, reading, and facial recognition. The burden of disease extends well beyond visual impairment: Patient-reported rates of depression and anxiety significantly exceed those of the general population and vision loss frequently impairs personal autonomy, workforce participation, and long-term employment.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Current Standard of Care and Unmet Medical Need</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are no currently approved treatments for Stargardt disease. Consequently, patient management is limited to lifestyle counseling and vision rehabilitation. Diagnosis ranges from early childhood to early adulthood depending on the mutation in ABCA4 and is often delayed by several years relative to symptom onset. Patients are generally advised to avoid vitamin A supplementation, smoking, and excessive exposure to high-intensity light, but these measures do not prevent the progressive vision loss associated with the disease. There is an urgent need for disease-modifying therapeutics that address the underlying pathophysiology of Stargardt disease and slow the progression of irreversible retinal degeneration.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The Visual Cycle and Role of RBP4 in Stargardt Disease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Stargardt disease, mutations in the ABCA4 gene impair the retina’s ability to process and clear vitamin A-derived byproducts, resulting in the accumulation of toxic, vitamin A bisretinoids, including A2E, within retinal pigment epithelium cells. These compounds drive retinal degeneration through multiple mechanisms, including cellular toxicity, oxidative stress, and complement activation. Over time, this progressive accumulation of these toxic byproducts leads to retinal dysfunction, cell loss, and irreversible vision impairment.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CITY-RBP4 is designed to address this underlying pathology by reducing hepatic production of RBP4, the primary transporter responsible for delivering vitamin A from the liver to the eye. By reducing delivery of vitamin A to the retina, CITY-RBP4 aims to limit the formation and accumulation of toxic bisretinoids, preserve retinal cells, and slow the progression of vision loss associated with Stargardt disease.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Novel Approaches for Stargardt Disease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are currently no approved therapies for Stargardt disease. Current RBP4 therapies in development include tinlarebant, which has demonstrated in clinical trials that reducing circulating RBP4 levels is a potentially effective strategy for treating Stargardt disease. Other non-RBP4 approaches in clinical development include vitamin A analogs and gene therapies.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vitamin A analog gildeuretinol blocks the formation of toxic bisretinoids by diluting the body’s natural vitamin A with deuterated vitamin A, and by doing so, slowing toxic bisretinoid aggregation. This approach requires clinical doses at levels well above the recommended daily dose of vitamin A, posing a risk for hypervitaminosis 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Most gene therapies aim to restore </w:t>
      </w:r>
      <w:r>
        <w:rPr>
          <w:rFonts w:ascii="Helvetica;Arial;sans-serif" w:hAnsi="Helvetica;Arial;sans-serif"/>
          <w:b w:val="false"/>
          <w:i/>
          <w:caps w:val="false"/>
          <w:smallCaps w:val="false"/>
          <w:color w:val="000000"/>
          <w:spacing w:val="-2"/>
          <w:sz w:val="20"/>
        </w:rPr>
        <w:t>ABCA4</w:t>
      </w:r>
      <w:r>
        <w:rPr>
          <w:rFonts w:ascii="Helvetica;Arial;sans-serif" w:hAnsi="Helvetica;Arial;sans-serif"/>
          <w:b w:val="false"/>
          <w:i w:val="false"/>
          <w:caps w:val="false"/>
          <w:smallCaps w:val="false"/>
          <w:color w:val="000000"/>
          <w:spacing w:val="-2"/>
          <w:sz w:val="20"/>
        </w:rPr>
        <w:t xml:space="preserve"> expression to suppress toxic metabolite accumulation; however, these approaches remain largely in early development, with unresolved questions regarding efficacy and long-term safety. In addition, they require highly invasive local injections that carry meaningful procedural risk.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Collectively, these limitations highlight the need for therapeutic approaches with the potential for durable efficacy, better safety, and more convenient dosing.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Overview of CITY-RBP4</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CITY-RBP4 is an optimized GalNAc-conjugated siRNA therapeutic candidate specifically designed to suppress RBP4 mRNA in the liver, thereby reducing retinol delivery to the eye and decreasing the formation of toxic bisretinoids that lead to vision loss. We believe CITY-RBP4 combines a clinically validated mechanism with the advantages of an optimized RNAi therapeutic. By degrading RBP4 mRNA before the protein is produced, CITY-RBP4 has the potential to achieve deeper and more durable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177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knockdown than small molecules, which inhibit RBP4 only after the protein has been produced. This durable suppression avoids the peak-and-trough oscillation in drug exposure characteristic of small molecules, instead providing steadier, more favorable pharmacology that we believe will translate into greater patient benefit. Because CITY-RBP4 is designed to be delivered directly to the liver rather than being systemically distributed, it has the potential to reduce off-target effects in non-target tissues. In addition, unlike small molecules, which require consistent daily dosing, CITY-RBP4 is being studied as a potentially quarterly to biannual subcutaneous injection, which may improve adherence, particularly in adolescent patients during a critical time of disease progression.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Preclinical Data</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ABCA4</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xml:space="preserve"> mouse model, a well-established preclinical model of Stargardt disease, treatment with an siRNA targeting mouse RBP4 dosed at 3 mg/kg showed reductions in plasma RBP4 and retinol levels, and levels of ocular A2E, the primary component of toxic vitamin A bisretinoids, were completely normalized at a therapeutically relevant dose. Furthermore, the reduction in A2E was dose-dependent, suggesting that the target engagement of RBP4 is specific (as shown in Figure 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6: siRNA-mediated RBP4 suppression reduced circulating vitamin A and normalized ocular A2E in the ABCA4−</w:t>
      </w:r>
      <w:r>
        <w:rPr>
          <w:rFonts w:ascii="Helvetica;Arial;sans-serif" w:hAnsi="Helvetica;Arial;sans-serif"/>
          <w:b/>
          <w:i w:val="false"/>
          <w:caps w:val="false"/>
          <w:smallCaps w:val="false"/>
          <w:color w:val="000000"/>
          <w:spacing w:val="-2"/>
          <w:sz w:val="15"/>
        </w:rPr>
        <w:t>/−</w:t>
      </w:r>
      <w:r>
        <w:rPr>
          <w:rFonts w:ascii="Helvetica;Arial;sans-serif" w:hAnsi="Helvetica;Arial;sans-serif"/>
          <w:b/>
          <w:i w:val="false"/>
          <w:caps w:val="false"/>
          <w:smallCaps w:val="false"/>
          <w:color w:val="000000"/>
          <w:spacing w:val="-2"/>
          <w:sz w:val="20"/>
        </w:rPr>
        <w:t xml:space="preserve"> Stargardt disease mouse model.</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791200" cy="2028825"/>
            <wp:effectExtent l="0" t="0" r="0" b="0"/>
            <wp:docPr id="36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9" descr=""/>
                    <pic:cNvPicPr>
                      <a:picLocks noChangeAspect="1" noChangeArrowheads="1"/>
                    </pic:cNvPicPr>
                  </pic:nvPicPr>
                  <pic:blipFill>
                    <a:blip r:embed="rId10"/>
                    <a:stretch>
                      <a:fillRect/>
                    </a:stretch>
                  </pic:blipFill>
                  <pic:spPr bwMode="auto">
                    <a:xfrm>
                      <a:off x="0" y="0"/>
                      <a:ext cx="5791200" cy="202882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Sustained suppression of plasma RBP4 with correlating suppression of plasma vitamin A was also observed in NHPs. Maximum RBP4 and retinol suppression was observed between Day 15 and Day 29 following a single subcutaneous administration of CITY-RBP4, with suppression occurring in a dose-dependent manner across all dose levels. At the moderate dose of 3 mg/kg, we observed approximately 90% RBP4 and vitamin A suppression (as shown in Figure 7). Further, at the highest subcutaneous dose of 10 mg/kg, RBP4 and retinol mean suppression both exceeded 90%, peaking on Day 29, with substantial suppression up to Day 90. A near 1:1 correlation was observed between RBP4 and vitamin A levels in NHPs, supporting that RBP4 is the main carrier for vitamin A delivery to peripheral tissues, including the eye (as shown in Figure 7). This biological relationship provides strong mechanistic validation of RBP4 as the optimal therapeutic target for reducing vitamin A delivery in Stargardt disease.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7: &gt;90% RBP4 and vitamin A suppression with one subcutaneous dose of CITY-RBP4. Plasma RBP4 and vitamin A levels exhibit near 1:1 correlation in NHP.</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86400" cy="1600200"/>
            <wp:effectExtent l="0" t="0" r="0" b="0"/>
            <wp:docPr id="37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0" descr=""/>
                    <pic:cNvPicPr>
                      <a:picLocks noChangeAspect="1" noChangeArrowheads="1"/>
                    </pic:cNvPicPr>
                  </pic:nvPicPr>
                  <pic:blipFill>
                    <a:blip r:embed="rId11"/>
                    <a:stretch>
                      <a:fillRect/>
                    </a:stretch>
                  </pic:blipFill>
                  <pic:spPr bwMode="auto">
                    <a:xfrm>
                      <a:off x="0" y="0"/>
                      <a:ext cx="5486400" cy="16002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52"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overall nonclinical package for CITY-RBP4 demonstrated potent, selective, and durable RNAi-mediated suppression of hepatic RBP4 mRNA, with consequent suppression of circulating RBP4 protein and retinol. The data also showed favorable pharmacokinetic and pharmacodynamic profiles, a lack of off-target transcriptional or genotoxic effects.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Clinical Development Plan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filed an application for CITY-RBP4 in mid-2026 to initiate a Phase 1 clinical study in        . We expect the Phase 1 study to be a multicenter, randomized, double masked, placebo-controlled study evaluating the safety, tolerability, pharmacokinetics, and pharmacodynamics of CITY-RBP4 administered subcutaneously in healthy volunteers and patients diagnosed with Stargardt disease. We expect the study to consist of SAD and multiple-ascending dose cohorts.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Indications Beyond Stargardt disease — Geographic Atrophy (GA) Secondary to Age-Related Macular Degeneration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GA is an advanced form of age-related macular degeneration that shares pathology with Stargardt disease given the accumulation of toxic vitamin A bisretinoids in the eye. In GA, the progressive, irreversible loss of retinal cells leads to expanding patches of vision loss in the central retina. GA affects approximately one million people in the United States and approximately five million people globally, yet there are only two approved therapies, both of which require frequent and invasive intravitreal injections. Despite recent approvals, a significant unmet medical need persists, as available therapies achieve only a modest slowing of lesion growth. GA and Stargardt disease share a common pathway of vitamin A-induced retinal toxicity; therefore, CITY-RBP4 has strong therapeutic potential to mitigate progressive retinal degeneration in both indications. To support this expansion, we are planning to evaluate CITY-RBP4 in healthy volunteers aged 60 or older, aligning with the typical age of GA onset.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CITY-TFR2</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CITY-TFR2 is an optimized GalNAc-conjugated siRNA therapeutic candidate designed to reduce TFR2 expression, lower hepcidin levels, and restore iron availability for red blood cell production. We are initially developing CITY-TFR2 for myelofibrosis-associated anemia, where anemia is a major driver of morbidity and transfusion dependence, while also exploring broader applications in anemia associated with chronic kidney disease and chronic inflammatory disorders, including inflammatory bowel disease, where elevated hepcidin and iron restriction also contribute to disease burden. An IIT for CITY-TFR2 is expected to begin in China for the treatment of anemia in myelofibrosis patients in       , and we plan to file an IND or IND-equivalent application by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Overview of Anemia of Chronic Disease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Anemia of chronic disease comprises up to 40% of all anemias and affects more than 5 million people in the United States. Anemia of chronic disease is a common complication of chronic inflammatory and malignant disorders, including myelofibrosis, chronic kidney disease, and inflammatory bowel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disease, and is characterized by a shortage of healthy red blood cells, or erythrocytes, available to carry oxygen to the body’s tissues, causing persistent fatigue, reduced exercise tolerance, and diminished quality of life. In many patients, anemia progresses to blood transfusion dependence, which is highly burdensome to patients and the healthcare system, and can lead to serious complications such as iron overload. Anemia can be broadly classified into two types: iron-depleted and iron-restricted anemia.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Unlike anemia caused by iron deficiency, where iron stores are depleted, iron-restricted anemia occurs when iron is present but unavailable for erythropoiesis, or red blood cell production. Anemia of chronic disease is a type of iron-restricted anemia. A hallmark of anemia of chronic disease is inflammation-driven iron restriction, where inflammatory cytokines, particularly interleukin-6 (“IL-6”), stimulate production of the hormone hepcidin, the central regulator of systemic iron homeostasis. Elevated hepcidin restricts the availability of iron needed for erythropoiesis by preventing iron release from cellular storage sites and limiting iron absorption. As a result, many patients develop iron-restricted anemia despite having adequate total body iron stores.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Although the mechanisms contributing to anemia differ among these conditions, elevated hepcidin and the resulting iron restriction contribute to anemia across these diseases. Therapies capable of restoring iron availability may have broad utility across multiple diseases associated with iron-restricted anemia.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Current Standard of Care and Unmet Medical Needs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Iron-restricted anemia remains a major source of morbidity across myelofibrosis, chronic kidney disease, and chronic inflammatory disorders, including inflammatory bowel disease, yet current treatment options are limited by modest efficacy, significant safety concerns, and heavy treatment burden.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initially developing CITY-TFR2 for anemia of myelofibrosis. Myelofibrosis is a rare, chronic cancer of the bone marrow in which the marrow becomes progressively scarred and loses its capacity to produce blood cells normally. There are an estimated 25,000 patients in the United States with myelofibrosis. Studies estimate that more than 85% of patients develop anemia. Treatment options include ESAs, immunomodulatory agents including thalidomide, lenalidomide, and pomalidomide (often administered with prednisone), and androgen therapies such as danazol. Responses to these therapies are often limited or transient, and many patients ultimately become dependent on blood transfusions. In addition, treatments indicated for myelofibrosis that modulate the JAK-STAT pathway are frequently associated with worsening anemia, resulting in treatment discontinuations or patients being treatment ineligible. Consequently, there is a significant unmet medical need for effective treatments of anemia in myelofibrosis.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CITY-TFR2 also has the potential to treat anemia in additional inflammatory indications, such as chronic kidney disease and chronic inflammatory disorders, including inflammatory bowel disease, by targeting the shared pathway of hepcidin-mediated iron restriction. Chronic kidney disease affects an estimated 37 million adults in the United States, many of whom develop anemia as kidney function declines. Current treatments include ESAs, HIF-PH inhibitors, intravenous iron and blood transfusions. ESAs and HIF-PH inhibitors are associated with significant safety concerns, including boxed warnings, and many patients continue to experience persistent anemia despite treatment.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Inflammatory bowel disease, comprising Crohn’s disease and ulcerative colitis, affects an estimated three million adults in the United States, many of whom develop anemia over the course of their disease. While iron supplementation can address iron deficiency, inflammation-driven iron restriction may persist despite iron repletion, leaving many patients with ongoing anemia and limited treatment options.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By targeting hepcidin-mediated iron restriction, a shared driver of anemia across these diseases, CITY-TFR2 is designed to address a common mechanism underlying anemia of chronic disease and has the potential to be broadly applicable across multiple indications.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TFR2 Biology and the Role of Hepcidin in Iron Homeostasis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Under normal conditions, the liver-derived hormone hepcidin acts as a molecular thermostat, rising when iron levels are high to limit iron absorption, and falling when iron is low to mobilize stores for 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blood cell production. In anemia of chronic disease, the overproduction of inflammatory cytokines including IL-6, triggers the overproduction of hepcidin, trapping iron inside cells (as shown in Figure 8). This creates a state of iron restriction, severely limiting red blood cell production despite abundant systemic iron stores.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18"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8: Anemia of chronic disease short-circuits the body’s iron thermostat: iron homeostasis requires feedback between liver and bloodstream through hepcidin.</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86400" cy="2209800"/>
            <wp:effectExtent l="0" t="0" r="0" b="0"/>
            <wp:docPr id="37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1" descr=""/>
                    <pic:cNvPicPr>
                      <a:picLocks noChangeAspect="1" noChangeArrowheads="1"/>
                    </pic:cNvPicPr>
                  </pic:nvPicPr>
                  <pic:blipFill>
                    <a:blip r:embed="rId12"/>
                    <a:stretch>
                      <a:fillRect/>
                    </a:stretch>
                  </pic:blipFill>
                  <pic:spPr bwMode="auto">
                    <a:xfrm>
                      <a:off x="0" y="0"/>
                      <a:ext cx="5486400" cy="22098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0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TFR2 is a key iron-sensing protein expressed on liver cells that helps regulate hepcidin and systemic iron availability. TFR2 binds to holo-transferrin (iron-bound transferrin), thereby linking hepcidin production to transferrin saturation and systemic iron availability.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5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Human genetic evidence supports TFR2’s role as a modulator of systemic iron balance, as complete loss-of-function mutations in TFR2 are associated with hereditary hemochromatosis type 3, a disorder characterized by reduced hepcidin levels and increased intestinal iron absorption, resulting in systemic iron overload. However, clinically meaningful manifestations typically emerge only after decades of elevated iron levels. Individuals with partial loss-of-function of TFR2 generally do not develop iron overload. These observations support the approach of pharmacologically modulating TFR2 to achieve controlled improvements in iron regulation.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18"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CITY-TFR2 &amp; Other Novel Approaches for Anemia of Chronic Disease</w:t>
      </w:r>
      <w:r>
        <w:rPr>
          <w:rFonts w:ascii="Helvetica;Arial;sans-serif" w:hAnsi="Helvetica;Arial;sans-serif"/>
          <w:b w:val="false"/>
          <w:i/>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CITY-TFR2 is a potentially first-in-class TFR2-targeting, optimized GalNAc-conjugated siRNA therapeutic candidate designed to reduce the expression of TFR2, thereby lowering hepcidin levels and increasing iron availability for red blood cell production. Recent third-party clinical data with an anti-hemojuvelin (“HJV”) antibody, selcodebart (DISC-0974) demonstrated meaningful increases in hemoglobin in patients with myelofibrosis-associated anemia, supporting the therapeutic potential of targeting the hepcidin pathway.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5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TFR2 represents a particularly attractive target because it directly senses circulating iron through its interaction with holo-transferrin and therefore serves as a physiologically relevant regulator of hepcidin production. In contrast, HJV is more closely associated with sensing tissue and intracellular iron stores. We believe TFR2 also offers advantages in inflammatory disease settings. While HJV expression is downregulated by inflammation, potentially limiting the effectiveness of approaches that depend on HJV biology, TFR2 remains a relevant regulator of hepcidin in inflammatory states, which we believe makes it a compelling therapeutic target in diseases characterized by chronic inflammation. CITY-TFR2 also has the potential to provide durable target suppression and infrequent dosing, which may translate into greater adherence and sustained benefit relative to antibody-based approaches.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16"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Preclinical Data</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Preclinical findings support TFR2 as a promising therapeutic target for addressing the iron restriction and impaired red blood cell production that characterize anemia of chronic disease. In a diet-induced mouse model of anemia, suppression of TFR2 with an siRNA targeting mouse TFR2 resulted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an increase in transferrin saturation (“TSAT”), demonstrating mobilization of iron stores to the periphery, that resulted in maintenance of the hematocrit at normal baseline levels (as shown in Figure 9). In contrast, mice treated with saline showed a reduction in TSAT and a hematocrit lower than baseline.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9: Suppression of TFR2 in a mouse model of anemia maintained normal hematocrit.</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86400" cy="1933575"/>
            <wp:effectExtent l="0" t="0" r="0" b="0"/>
            <wp:docPr id="37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2" descr=""/>
                    <pic:cNvPicPr>
                      <a:picLocks noChangeAspect="1" noChangeArrowheads="1"/>
                    </pic:cNvPicPr>
                  </pic:nvPicPr>
                  <pic:blipFill>
                    <a:blip r:embed="rId13"/>
                    <a:stretch>
                      <a:fillRect/>
                    </a:stretch>
                  </pic:blipFill>
                  <pic:spPr bwMode="auto">
                    <a:xfrm>
                      <a:off x="0" y="0"/>
                      <a:ext cx="5486400" cy="1933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78"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Following subcutaneous dosing of CITY-TFR2 in NHPs, we observed robust and sustained knockdown of TFR2 mRNA that resulted in concomitant increases in circulating iron, TSAT, and mean corpuscular hemoglobin (“MCH”), a measure of hemoglobin content per red blood cell. In a two-dose study in NHPs, subcutaneous dosing of CITY-TFR2 led to TFR2 mRNA reduction of over 80% after the first dose at dose levels of 1 mg/kg and 3 mg/kg and 89% after the second dose at 3 mg/kg demonstrating the potentially potent silencing capability of the therapeutic (as shown in Figure 10). CITY-TFR2 also increased serum iron, TSAT, and MCH in NHPs after both doses with durability lasting 98 days after the second dose (as shown in Figure 11).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10: CITY-TFR2 achieves robust and durable knockdown of TFR2 mRNA in NHPs.</w:t>
      </w:r>
      <w:r>
        <w:rPr>
          <w:rFonts w:ascii="Helvetica;Arial;sans-serif" w:hAnsi="Helvetica;Arial;sans-serif"/>
          <w:b/>
          <w:i w:val="false"/>
          <w:caps w:val="false"/>
          <w:smallCaps w:val="false"/>
          <w:color w:val="000000"/>
          <w:spacing w:val="4"/>
          <w:sz w:val="20"/>
        </w:rPr>
        <w:t xml:space="preserve"> </w:t>
      </w:r>
    </w:p>
    <w:p>
      <w:pPr>
        <w:pStyle w:val="TextBody"/>
        <w:bidi w:val="0"/>
        <w:spacing w:before="214" w:after="283"/>
        <w:jc w:val="center"/>
        <w:rPr>
          <w:caps w:val="false"/>
          <w:smallCaps w:val="false"/>
          <w:color w:val="000000"/>
        </w:rPr>
      </w:pPr>
      <w:r>
        <w:rPr>
          <w:caps w:val="false"/>
          <w:smallCaps w:val="false"/>
          <w:color w:val="000000"/>
        </w:rPr>
        <w:drawing>
          <wp:inline distT="0" distB="0" distL="0" distR="0">
            <wp:extent cx="3695700" cy="3200400"/>
            <wp:effectExtent l="0" t="0" r="0" b="0"/>
            <wp:docPr id="37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3" descr=""/>
                    <pic:cNvPicPr>
                      <a:picLocks noChangeAspect="1" noChangeArrowheads="1"/>
                    </pic:cNvPicPr>
                  </pic:nvPicPr>
                  <pic:blipFill>
                    <a:blip r:embed="rId14"/>
                    <a:stretch>
                      <a:fillRect/>
                    </a:stretch>
                  </pic:blipFill>
                  <pic:spPr bwMode="auto">
                    <a:xfrm>
                      <a:off x="0" y="0"/>
                      <a:ext cx="3695700" cy="3200400"/>
                    </a:xfrm>
                    <a:prstGeom prst="rect">
                      <a:avLst/>
                    </a:prstGeom>
                  </pic:spPr>
                </pic:pic>
              </a:graphicData>
            </a:graphic>
          </wp:inline>
        </w:drawing>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6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TFR2 mRNA measured from sparse sampling of liver biopsies taken across NHPs (N=1 per timepoint through day 121). All CITY-TFR2 animals had a liver biopsy on the last day (day 176).</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01600" distB="0" distL="0" distR="0" simplePos="0" locked="0" layoutInCell="1" allowOverlap="1" relativeHeight="385">
                <wp:simplePos x="0" y="0"/>
                <wp:positionH relativeFrom="column">
                  <wp:align>left</wp:align>
                </wp:positionH>
                <wp:positionV relativeFrom="line">
                  <wp:align>top</wp:align>
                </wp:positionV>
                <wp:extent cx="254000" cy="233680"/>
                <wp:effectExtent l="0" t="0" r="0" b="0"/>
                <wp:wrapSquare wrapText="right"/>
                <wp:docPr id="374" name="Frame36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11: CITY-TFR2 increased serum iron, TSAT, and MCH in NHPs.</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543300" cy="2286000"/>
            <wp:effectExtent l="0" t="0" r="0" b="0"/>
            <wp:docPr id="37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4" descr=""/>
                    <pic:cNvPicPr>
                      <a:picLocks noChangeAspect="1" noChangeArrowheads="1"/>
                    </pic:cNvPicPr>
                  </pic:nvPicPr>
                  <pic:blipFill>
                    <a:blip r:embed="rId15"/>
                    <a:stretch>
                      <a:fillRect/>
                    </a:stretch>
                  </pic:blipFill>
                  <pic:spPr bwMode="auto">
                    <a:xfrm>
                      <a:off x="0" y="0"/>
                      <a:ext cx="3543300" cy="2286000"/>
                    </a:xfrm>
                    <a:prstGeom prst="rect">
                      <a:avLst/>
                    </a:prstGeom>
                  </pic:spPr>
                </pic:pic>
              </a:graphicData>
            </a:graphic>
          </wp:inline>
        </w:drawing>
      </w:r>
      <w:r>
        <w:rPr>
          <w:caps w:val="false"/>
          <w:smallCaps w:val="false"/>
          <w:color w:val="000000"/>
        </w:rPr>
        <w:t xml:space="preserve"> </w:t>
      </w:r>
    </w:p>
    <w:p>
      <w:pPr>
        <w:pStyle w:val="TextBody"/>
        <w:bidi w:val="0"/>
        <w:spacing w:before="272" w:after="283"/>
        <w:jc w:val="center"/>
        <w:rPr>
          <w:caps w:val="false"/>
          <w:smallCaps w:val="false"/>
          <w:color w:val="000000"/>
        </w:rPr>
      </w:pPr>
      <w:r>
        <w:rPr>
          <w:caps w:val="false"/>
          <w:smallCaps w:val="false"/>
          <w:color w:val="000000"/>
        </w:rPr>
        <w:drawing>
          <wp:inline distT="0" distB="0" distL="0" distR="0">
            <wp:extent cx="3648075" cy="2390775"/>
            <wp:effectExtent l="0" t="0" r="0" b="0"/>
            <wp:docPr id="37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5" descr=""/>
                    <pic:cNvPicPr>
                      <a:picLocks noChangeAspect="1" noChangeArrowheads="1"/>
                    </pic:cNvPicPr>
                  </pic:nvPicPr>
                  <pic:blipFill>
                    <a:blip r:embed="rId16"/>
                    <a:stretch>
                      <a:fillRect/>
                    </a:stretch>
                  </pic:blipFill>
                  <pic:spPr bwMode="auto">
                    <a:xfrm>
                      <a:off x="0" y="0"/>
                      <a:ext cx="3648075" cy="2390775"/>
                    </a:xfrm>
                    <a:prstGeom prst="rect">
                      <a:avLst/>
                    </a:prstGeom>
                  </pic:spPr>
                </pic:pic>
              </a:graphicData>
            </a:graphic>
          </wp:inline>
        </w:drawing>
      </w:r>
      <w:r>
        <w:rPr>
          <w:caps w:val="false"/>
          <w:smallCaps w:val="false"/>
          <w:color w:val="000000"/>
        </w:rPr>
        <w:t xml:space="preserve"> </w:t>
      </w:r>
    </w:p>
    <w:p>
      <w:pPr>
        <w:pStyle w:val="TextBody"/>
        <w:bidi w:val="0"/>
        <w:spacing w:before="268" w:after="283"/>
        <w:jc w:val="center"/>
        <w:rPr>
          <w:caps w:val="false"/>
          <w:smallCaps w:val="false"/>
          <w:color w:val="000000"/>
        </w:rPr>
      </w:pPr>
      <w:r>
        <w:rPr>
          <w:caps w:val="false"/>
          <w:smallCaps w:val="false"/>
          <w:color w:val="000000"/>
        </w:rPr>
        <w:drawing>
          <wp:inline distT="0" distB="0" distL="0" distR="0">
            <wp:extent cx="3743325" cy="2409825"/>
            <wp:effectExtent l="0" t="0" r="0" b="0"/>
            <wp:docPr id="37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6" descr=""/>
                    <pic:cNvPicPr>
                      <a:picLocks noChangeAspect="1" noChangeArrowheads="1"/>
                    </pic:cNvPicPr>
                  </pic:nvPicPr>
                  <pic:blipFill>
                    <a:blip r:embed="rId17"/>
                    <a:stretch>
                      <a:fillRect/>
                    </a:stretch>
                  </pic:blipFill>
                  <pic:spPr bwMode="auto">
                    <a:xfrm>
                      <a:off x="0" y="0"/>
                      <a:ext cx="3743325" cy="2409825"/>
                    </a:xfrm>
                    <a:prstGeom prst="rect">
                      <a:avLst/>
                    </a:prstGeom>
                  </pic:spPr>
                </pic:pic>
              </a:graphicData>
            </a:graphic>
          </wp:inline>
        </w:drawing>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All data represented as Mean ± SEM</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91440" distB="0" distL="0" distR="0" simplePos="0" locked="0" layoutInCell="1" allowOverlap="1" relativeHeight="386">
                <wp:simplePos x="0" y="0"/>
                <wp:positionH relativeFrom="column">
                  <wp:align>left</wp:align>
                </wp:positionH>
                <wp:positionV relativeFrom="line">
                  <wp:align>top</wp:align>
                </wp:positionV>
                <wp:extent cx="254000" cy="233680"/>
                <wp:effectExtent l="0" t="0" r="0" b="0"/>
                <wp:wrapSquare wrapText="right"/>
                <wp:docPr id="378" name="Frame36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Overall, the nonclinical evaluation of CITY-TFR2 demonstrated a robust therapeutic profile characterized by potent, selective, and sustained RNAi-mediated silencing of TFR2 mRNA and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86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subsequent increase in serum iron, TSAT, and MCH. These physiological responses were coupled with highly favorable pharmacokinetic and pharmacodynamic properties and negligible off-target transcriptional activity.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Clinical Development Plan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CITY-TFR2 is being developed as a potential treatment for multiple diseases characterized by inflammation-driven iron restricted anemia. We believe the underlying mechanism may be applicable across anemias in myelofibrosis, chronic kidney disease, and chronic inflammatory disorders, including inflammatory bowel disease. Our initial clinical focus is myelofibrosis, where anemia represents a major unmet medical need, and where hepcidin-mediated iron restriction is believed to play a significant role in disease burden and hepcidin downregulation has been clinically demonstrated as a potentially effective treatment approach. Myelofibrosis is associated with pro-inflammatory pathways that contribute directly and indirectly to suppression of erythropoiesis while also interacting with systemic iron regulation. Therapeutic modulation of JAK-STAT signaling improves splenomegaly and symptoms in many myelofibrosis patients but is frequently associated with worsening anemia. In some patients, JAK inhibitors cannot be prescribed due to anemia. Consequently, there is a significant unmet medical need for therapies that restore effective red blood cell production, provide sustained improvements in hemoglobin, reduce transfusion burden, and more directly address the interplay between inflammation-driven iron restriction and red blood cell production.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plan to initiate the clinical development of CITY-TFR2 through an IIT in China with a goal of establishing clinical proof-of-concept. We anticipate beginning enrollment of patients with anemia of myelofibrosis in        , with clinical data expected in        . In addition to the IIT, we plan to file an IND or IND-equivalent application for a Phase 1/2 clinical trial by        , with trial initiation anticipated in        . The Phase 1/2 trial is expected to validate and extend pharmacodynamic and tolerability data across a broader myelofibrosis patient population. Data generated from the myelofibrosis program will help inform future development in additional indications.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Our Approach: Potential for RNAi Therapeutics and Our Platform</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City Platform</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City Platform is the engine behind every therapeutic we develop. Our City Platform is designed to integrate three core capabilities: RNAi trigger engineering, novel delivery conjugates that allow for tissue selectivity, and target discovery and validation enabled by our insights into human genetics. Critical to every RNAi medicine is the trigger that harnesses the cellular RNAi machinery to silence a disease-relevant gene. We believe our expertise enables us to engineer the trigger for unmatched potency and specificity, and our novel cityRNA triggers are a differentiated approach to unlock extrahepatic delivery. Our proprietary AI/ML-enabled trigger design capability uses a large RNAi activity dataset to predict high-potential trigger molecules in silico, accelerating design cycles from months to days. We conjugate our triggers with tissue-targeting ligands for precise delivery to cell types in and beyond the liver, starting with our proprietary LRP1 ligand, which is designed to enable delivery to ocular, CNS, and adipose cells. Our pipeline programs are selected through a genetics-led target discovery capability that leverages proprietary insights from human biology and other sources to identify differentiated, genetically de-risked targets where RNAi can confer a durable therapeutic advantage. By uniting these capabilities in a single platform, we believe we can systematically create and develop potentially best-in-class therapeutics, supporting our goal of filing one to two new IND or IND-equivalent applications per year.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12: The City Platform: trigger engineering at the core, with novel delivery conjugates and target discovery in support.</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686425" cy="2990850"/>
            <wp:effectExtent l="0" t="0" r="0" b="0"/>
            <wp:docPr id="37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7" descr=""/>
                    <pic:cNvPicPr>
                      <a:picLocks noChangeAspect="1" noChangeArrowheads="1"/>
                    </pic:cNvPicPr>
                  </pic:nvPicPr>
                  <pic:blipFill>
                    <a:blip r:embed="rId18"/>
                    <a:stretch>
                      <a:fillRect/>
                    </a:stretch>
                  </pic:blipFill>
                  <pic:spPr bwMode="auto">
                    <a:xfrm>
                      <a:off x="0" y="0"/>
                      <a:ext cx="5686425" cy="29908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4"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Trigger Engineering</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RNAi trigger is fundamental to the performance of every RNAi medicine and is a double-stranded RNA that programs the cell’s RNA induced silencing complex (“RISC”) machinery to cleave a target mRNA and induce gene silencing. RNAi trigger engineering is the cornerstone of our City Platform, leveraging our deep expertise in canonical siRNA therapeutics, our next-generation cityRNA triggers, and our proprietary AI/ML molecular-design capability.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team of RNAi pioneers bring deep, first-hand expertise in the design, chemical modification, screening, and optimization of RNAi trigger molecules to create RNAi therapeutics. This expertise stems from our contributions to the discovery or development of seven of the eight currently approved RNAi therapeutics. We believe that our combined expertise positions us to directly compete in the large and growing market for liver-directed RNAi therapies with potentially best-in-class siRNAs. Our team’s collective experience is also the foundation on which cityRNA trigger molecules are built — the same design ingenuity and discipline, chemistry and screening infrastructure, applied to a structurally new class of RNAi molecule.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CityRNA — Our Proprietary Next-Generation RNAi Trigger</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there is substantial opportunity for liver-directed RNAi therapeutics, we believe the defining opportunity for the future of RNAi therapeutics lies beyond the liver. The liver is uniquely permissive to RNAi because hepatocytes abundantly express ASGPR, the receptor for the GalNAc ligand, and are readily accessible from the bloodstream through the liver’s highly permeable vasculature. However, the majority of human diseases, arise in tissues beyond the liver, which lack a comparably efficient uptake pathway and present far more restrictive extracellular, endothelial, and cellular barriers. In settings where delivery is constrained, the intrinsic molecular properties of the trigger become decisive in successfully developing an RNAi therapeutic. cityRNA is our proprietary trigger, engineered specifically to perform where conventional approaches fall short, enabling expansion to extrahepatic tissues. cityRNA trigger molecules are differentiated based on six advantages: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Improved biophysical properties.</w:t>
      </w:r>
      <w:r>
        <w:rPr>
          <w:rFonts w:ascii="Helvetica;Arial;sans-serif" w:hAnsi="Helvetica;Arial;sans-serif"/>
          <w:b w:val="false"/>
          <w:i w:val="false"/>
          <w:caps w:val="false"/>
          <w:smallCaps w:val="false"/>
          <w:color w:val="000000"/>
          <w:spacing w:val="-2"/>
          <w:sz w:val="20"/>
        </w:rPr>
        <w:t xml:space="preserve">   cityRNA trigger molecules are approximately 30% shorter than canonical siRNAs and carry roughly one-third fewer negative charges. These structural features are well suited to the biological realities of extrahepatic tissues, where </w:t>
      </w:r>
      <w:r>
        <mc:AlternateContent>
          <mc:Choice Requires="wps">
            <w:drawing>
              <wp:anchor behindDoc="0" distT="101600" distB="0" distL="254000" distR="0" simplePos="0" locked="0" layoutInCell="1" allowOverlap="1" relativeHeight="387">
                <wp:simplePos x="0" y="0"/>
                <wp:positionH relativeFrom="column">
                  <wp:align>left</wp:align>
                </wp:positionH>
                <wp:positionV relativeFrom="line">
                  <wp:align>top</wp:align>
                </wp:positionV>
                <wp:extent cx="254000" cy="350520"/>
                <wp:effectExtent l="0" t="0" r="0" b="0"/>
                <wp:wrapSquare wrapText="right"/>
                <wp:docPr id="380" name="Frame3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59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molecular size and charge strongly influence interactions with plasma proteins, biological barriers, and cellular membranes that ultimately determine tissue distribution and cellular uptake. By reducing electrostatic repulsion at the cell surface, the lower charge density may also enhance penetration through dense extracellular matrices. Most importantly, subcellular imaging suggests that cityRNAs are inherently more efficient at escaping endosomes, allowing more of the delivered payload to reach the cytoplasm and engage RISC (as shown in Figure 13). This increased efficiency could be transformative for extrahepatic RNAi, where delivery is inherently constrained and the therapeutic impact depends on extracting maximal activity from every molecule that enters the cell.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304"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13. Reduced co-localization of cityRNA-GalNAc with the late endosomal marker Rab7A compared to siRNA-GalNAc.</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629275" cy="2238375"/>
            <wp:effectExtent l="0" t="0" r="0" b="0"/>
            <wp:docPr id="38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18" descr=""/>
                    <pic:cNvPicPr>
                      <a:picLocks noChangeAspect="1" noChangeArrowheads="1"/>
                    </pic:cNvPicPr>
                  </pic:nvPicPr>
                  <pic:blipFill>
                    <a:blip r:embed="rId19"/>
                    <a:stretch>
                      <a:fillRect/>
                    </a:stretch>
                  </pic:blipFill>
                  <pic:spPr bwMode="auto">
                    <a:xfrm>
                      <a:off x="0" y="0"/>
                      <a:ext cx="5629275" cy="22383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Dual AGO2 and AGO3 utilization and higher catalytic turnover.</w:t>
      </w:r>
      <w:r>
        <w:rPr>
          <w:rFonts w:ascii="Helvetica;Arial;sans-serif" w:hAnsi="Helvetica;Arial;sans-serif"/>
          <w:b w:val="false"/>
          <w:i w:val="false"/>
          <w:caps w:val="false"/>
          <w:smallCaps w:val="false"/>
          <w:color w:val="000000"/>
          <w:spacing w:val="-2"/>
          <w:sz w:val="20"/>
        </w:rPr>
        <w:t>   cityRNA trigger molecules are designed to engage the RNAi-silencing machinery with increased productivity. Canonical siRNAs function almost exclusively through the Argonaute 2 (“AGO2”)-RISC. When loaded into Argonaute 3 (“AGO3”)-RISC, siRNA becomes trapped in a dead-end complex that sequesters payload without contributing to silencing. Owing to its shorter length, cityRNA can convert AGO3-RISC from a molecular sink into an active, cleavage-competent enzyme, productively engaging both AGO2 and AGO3 (as shown in Figure 14), which are both universally expressed in all tissues. To our knowledge, we are the only company developing RNAi triggers that productively engage both pathways. In addition, cityRNA-loaded RISC improves catalytic turnover by releasing cleaved mRNA more efficiently, freeing it for the next round of mRNA cleavage (as shown in Figure 15). In delivery-constrained settings, a molecule that achieves more productive silencing per copy delivered offers a meaningful practical advantage.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54940" distB="0" distL="254000" distR="0" simplePos="0" locked="0" layoutInCell="1" allowOverlap="1" relativeHeight="388">
                <wp:simplePos x="0" y="0"/>
                <wp:positionH relativeFrom="column">
                  <wp:align>left</wp:align>
                </wp:positionH>
                <wp:positionV relativeFrom="line">
                  <wp:align>top</wp:align>
                </wp:positionV>
                <wp:extent cx="254000" cy="350520"/>
                <wp:effectExtent l="0" t="0" r="0" b="0"/>
                <wp:wrapSquare wrapText="right"/>
                <wp:docPr id="382" name="Frame3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14. cityRNA enables productive cleavage in both AGO2-RISC and AGO3-RISC, whereas siRNA activity is largely restricted to AGO2-RISC.</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791200" cy="2247900"/>
            <wp:effectExtent l="0" t="0" r="0" b="0"/>
            <wp:docPr id="38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9" descr=""/>
                    <pic:cNvPicPr>
                      <a:picLocks noChangeAspect="1" noChangeArrowheads="1"/>
                    </pic:cNvPicPr>
                  </pic:nvPicPr>
                  <pic:blipFill>
                    <a:blip r:embed="rId20"/>
                    <a:stretch>
                      <a:fillRect/>
                    </a:stretch>
                  </pic:blipFill>
                  <pic:spPr bwMode="auto">
                    <a:xfrm>
                      <a:off x="0" y="0"/>
                      <a:ext cx="5791200" cy="22479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15. cityRNA enhances AGO2-RISC catalytic turnover, producing more rapid and greater cumulative product formation than siRNA.</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048000" cy="2362200"/>
            <wp:effectExtent l="0" t="0" r="0" b="0"/>
            <wp:docPr id="38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0" descr=""/>
                    <pic:cNvPicPr>
                      <a:picLocks noChangeAspect="1" noChangeArrowheads="1"/>
                    </pic:cNvPicPr>
                  </pic:nvPicPr>
                  <pic:blipFill>
                    <a:blip r:embed="rId21"/>
                    <a:stretch>
                      <a:fillRect/>
                    </a:stretch>
                  </pic:blipFill>
                  <pic:spPr bwMode="auto">
                    <a:xfrm>
                      <a:off x="0" y="0"/>
                      <a:ext cx="3048000" cy="2362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Improved specificity and safety.</w:t>
      </w:r>
      <w:r>
        <w:rPr>
          <w:rFonts w:ascii="Helvetica;Arial;sans-serif" w:hAnsi="Helvetica;Arial;sans-serif"/>
          <w:b w:val="false"/>
          <w:i w:val="false"/>
          <w:caps w:val="false"/>
          <w:smallCaps w:val="false"/>
          <w:color w:val="000000"/>
          <w:spacing w:val="-2"/>
          <w:sz w:val="20"/>
        </w:rPr>
        <w:t>   Head-to-head preclinical data generated to date demonstrate an equivalent or superior off-target profile for cityRNA trigger molecules versus canonical siRNA triggers bearing identical seed sequences, the region of the trigger responsible for target recognition. We believe that a cleaner off-target profile can directly widen the therapeutic index, a particularly valuable property in sensitive extrahepatic tissues such as the eye and CNS, where delivery efficiency is constrained and off-target activity could carry greater tolerability risk. cityRNA’s intrinsic potency may lower the effective dose required for target knockdown, further reducing the off-target burden and increasing the safety advantage.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39700" distB="0" distL="254000" distR="0" simplePos="0" locked="0" layoutInCell="1" allowOverlap="1" relativeHeight="389">
                <wp:simplePos x="0" y="0"/>
                <wp:positionH relativeFrom="column">
                  <wp:align>left</wp:align>
                </wp:positionH>
                <wp:positionV relativeFrom="line">
                  <wp:align>top</wp:align>
                </wp:positionV>
                <wp:extent cx="254000" cy="350520"/>
                <wp:effectExtent l="0" t="0" r="0" b="0"/>
                <wp:wrapSquare wrapText="right"/>
                <wp:docPr id="385" name="Frame3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pt;mso-wrap-distance-bottom:0pt;margin-top:11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Increased design flexibility.</w:t>
      </w:r>
      <w:r>
        <w:rPr>
          <w:rFonts w:ascii="Helvetica;Arial;sans-serif" w:hAnsi="Helvetica;Arial;sans-serif"/>
          <w:b w:val="false"/>
          <w:i w:val="false"/>
          <w:caps w:val="false"/>
          <w:smallCaps w:val="false"/>
          <w:color w:val="000000"/>
          <w:spacing w:val="-2"/>
          <w:sz w:val="20"/>
        </w:rPr>
        <w:t>   cityRNA trigger molecule’s distinct structural properties may expand the landscape of viable trigger sequences that can be explored for each target. This increases the probability of identifying triggers that are simultaneously potent, cross-species homologous, and differentiated. A larger proprietary trigger-sequence estate may allow us to identify RNAi trigger sequences that are novel to existing siRNA programs.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390">
                <wp:simplePos x="0" y="0"/>
                <wp:positionH relativeFrom="column">
                  <wp:align>left</wp:align>
                </wp:positionH>
                <wp:positionV relativeFrom="line">
                  <wp:align>top</wp:align>
                </wp:positionV>
                <wp:extent cx="254000" cy="350520"/>
                <wp:effectExtent l="0" t="0" r="0" b="0"/>
                <wp:wrapSquare wrapText="right"/>
                <wp:docPr id="386" name="Frame3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Lower cost of goods and more scalable manufacturing.</w:t>
      </w:r>
      <w:r>
        <w:rPr>
          <w:rFonts w:ascii="Helvetica;Arial;sans-serif" w:hAnsi="Helvetica;Arial;sans-serif"/>
          <w:b w:val="false"/>
          <w:i w:val="false"/>
          <w:caps w:val="false"/>
          <w:smallCaps w:val="false"/>
          <w:color w:val="000000"/>
          <w:spacing w:val="-2"/>
          <w:sz w:val="20"/>
        </w:rPr>
        <w:t xml:space="preserve">   cityRNA trigger molecule’s approximately 30% shorter oligonucleotide length simplifies synthesis and reduces raw-material requirements relative to the canonical 21-25 nucleotide duplex. We believe this </w:t>
      </w:r>
      <w:r>
        <mc:AlternateContent>
          <mc:Choice Requires="wps">
            <w:drawing>
              <wp:anchor behindDoc="0" distT="101600" distB="0" distL="254000" distR="0" simplePos="0" locked="0" layoutInCell="1" allowOverlap="1" relativeHeight="391">
                <wp:simplePos x="0" y="0"/>
                <wp:positionH relativeFrom="column">
                  <wp:align>left</wp:align>
                </wp:positionH>
                <wp:positionV relativeFrom="line">
                  <wp:align>top</wp:align>
                </wp:positionV>
                <wp:extent cx="254000" cy="350520"/>
                <wp:effectExtent l="0" t="0" r="0" b="0"/>
                <wp:wrapSquare wrapText="right"/>
                <wp:docPr id="387" name="Frame3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advantage will scale as our pipeline grows, as every new program benefits from the same structural efficiency, and a more accessible manufacturing profile supports a broader range of indications.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5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Broad platform intellectual property.</w:t>
      </w:r>
      <w:r>
        <w:rPr>
          <w:rFonts w:ascii="Helvetica;Arial;sans-serif" w:hAnsi="Helvetica;Arial;sans-serif"/>
          <w:b w:val="false"/>
          <w:i w:val="false"/>
          <w:caps w:val="false"/>
          <w:smallCaps w:val="false"/>
          <w:color w:val="000000"/>
          <w:spacing w:val="-2"/>
          <w:sz w:val="20"/>
        </w:rPr>
        <w:t>   We have built a multi-layered intellectual property estate designed to protect cityRNA and establish what we believe is a new generation of RNAi platform intellectual property. The estate combines internally created, City Therapeutics-owned intellectual property with exclusively in-licensed foundational intellectual property from the Ohio State Innovation Foundation (“OSIF”) capturing the originating science that “cleavage-inducing tiny” RNAs can activate Argonaute-mediated target cleavage through mechanisms distinct from longer canonical siRNAs. Building on that foundation, our internal research has developed broad and intellectual property spanning cityRNA molecules’ novel structural parameters, chemical modifications, AGO3 loading rules, tissue-specific delivery learnings, design rules and proprietary therapeutic trigger sequences. Together these are expected to create a robust intellectual property perimeter around the City Platform that strengthens and broadens with each scientific and clinical milestone we achieve.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392">
                <wp:simplePos x="0" y="0"/>
                <wp:positionH relativeFrom="column">
                  <wp:align>left</wp:align>
                </wp:positionH>
                <wp:positionV relativeFrom="line">
                  <wp:align>top</wp:align>
                </wp:positionV>
                <wp:extent cx="254000" cy="350520"/>
                <wp:effectExtent l="0" t="0" r="0" b="0"/>
                <wp:wrapSquare wrapText="right"/>
                <wp:docPr id="388" name="Frame3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2"/>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AI/ML Based Molecular Design of Triggers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Trigger design has historically been time-consuming and driven by trial-and-error. We are changing that with a proprietary machine-learning capability designed to predict trigger potency in silico. From our founding, we invested heavily in our data and have amassed a large, proprietary dataset of RNAi trigger measurements spanning a wide range of hepatic and extrahepatic targets. We use this dataset to train complementary models that identify the design rules driving activity and predict which novel candidates are most likely to succeed, letting us focus laboratory testing on our highest-potential trigger designs. This automated framework enables us to complete dozens of modeling experiments in days rather than the months such work previously required.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believe this dataset and AI/ML capability is a valuable asset, and we will continue to build and invest in this important capability. Our initial modeling results already outperform the best published tools for predicting siRNA activity, and we are applying the same approach to cityRNAs, building a comprehensive sequence and chemistry activity dataset to identify the best cityRNA candidates. These models now drive a continuous design-build-test cycle in which each round of laboratory testing feeds the next round of predictions, so the capability improves with every experiment, compressing design timelines, expanding our proprietary RNAi trigger estate, and widening our lead in trigger engineering.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Novel Delivery Conjugates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the most potent RNAi trigger has little therapeutic value unless it can be delivered to the appropriate cells. Accordingly, our conjugate chemistry is designed to establish tissue selectivity and maximize productive intracellular delivery. For more than two decades, delivery, not target biology, has defined the therapeutic boundaries of RNAi. Whereas the liver is readily accessible, extrahepatic tissues present formidable extracellular, endothelial, and cellular barriers that demand tailored delivery strategies. Our approach uses validated and proprietary ligands, such as GalNAc for hepatic delivery and LRP1 ligands for selected extrahepatic tissues, enabling efficient uptake and intracellular trafficking in the intended cell populations.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LRP1: reaching the eye, CNS and adipose tissue.</w:t>
      </w:r>
      <w:r>
        <w:rPr>
          <w:rFonts w:ascii="Helvetica;Arial;sans-serif" w:hAnsi="Helvetica;Arial;sans-serif"/>
          <w:b w:val="false"/>
          <w:i w:val="false"/>
          <w:caps w:val="false"/>
          <w:smallCaps w:val="false"/>
          <w:color w:val="000000"/>
          <w:spacing w:val="-2"/>
          <w:sz w:val="20"/>
        </w:rPr>
        <w:t>   We have developed proprietary ligands for LRP1, the low-density lipoprotein receptor-related protein 1, a receptor we believe is particularly well suited to delivering RNAi triggers to ocular, CNS, and adipose cells. LRP1 is highly expressed across multiple relevant cell populations, including neurons, astrocytes, oligodendrocyte precursor cells, and microglia; it undergoes rapid endocytosis and recycling, giving it high transport capacity; it is not known to trigger a signaling cascade upon ligand binding; and it is highly conserved across species, supporting translation from preclinical models to humans.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experimental studies, LRP1 conjugates achieved broad retinal distribution and substantially deeper target knockdown than an unconjugated siRNA trigger following intravitreal administration, and drove robust gene silencing across multiple brain regions and in adipose tissue following intrathecal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systemic dosing, respectively (as shown in Figures 16 and 17). Together, these results support the potential for LRP1 as a high-capacity delivery system capable of enabling meaningful RNAi activity in tissues that have historically been difficult to access.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16. LRP1 ligand enabled broad retinal distribution and enhanced target mRNA knockdown compared to siRNA alone.</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86400" cy="2362200"/>
            <wp:effectExtent l="0" t="0" r="0" b="0"/>
            <wp:docPr id="38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21" descr=""/>
                    <pic:cNvPicPr>
                      <a:picLocks noChangeAspect="1" noChangeArrowheads="1"/>
                    </pic:cNvPicPr>
                  </pic:nvPicPr>
                  <pic:blipFill>
                    <a:blip r:embed="rId22"/>
                    <a:stretch>
                      <a:fillRect/>
                    </a:stretch>
                  </pic:blipFill>
                  <pic:spPr bwMode="auto">
                    <a:xfrm>
                      <a:off x="0" y="0"/>
                      <a:ext cx="5486400" cy="23622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336"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Figure 17. LRP1 ligand — conjugates drove robust gene silencing across multiple extrahepatic tissues, including brain and adipose.</w:t>
      </w:r>
      <w:r>
        <w:rPr>
          <w:rFonts w:ascii="Helvetica;Arial;sans-serif" w:hAnsi="Helvetica;Arial;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86400" cy="2371725"/>
            <wp:effectExtent l="0" t="0" r="0" b="0"/>
            <wp:docPr id="39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2" descr=""/>
                    <pic:cNvPicPr>
                      <a:picLocks noChangeAspect="1" noChangeArrowheads="1"/>
                    </pic:cNvPicPr>
                  </pic:nvPicPr>
                  <pic:blipFill>
                    <a:blip r:embed="rId23"/>
                    <a:stretch>
                      <a:fillRect/>
                    </a:stretch>
                  </pic:blipFill>
                  <pic:spPr bwMode="auto">
                    <a:xfrm>
                      <a:off x="0" y="0"/>
                      <a:ext cx="5486400" cy="23717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5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Expanding the conjugate toolkit.   </w:t>
      </w:r>
      <w:r>
        <w:rPr>
          <w:rFonts w:ascii="Helvetica;Arial;sans-serif" w:hAnsi="Helvetica;Arial;sans-serif"/>
          <w:b w:val="false"/>
          <w:i w:val="false"/>
          <w:caps w:val="false"/>
          <w:smallCaps w:val="false"/>
          <w:color w:val="000000"/>
          <w:spacing w:val="-2"/>
          <w:sz w:val="20"/>
        </w:rPr>
        <w:t>Beyond GalNAc and LRP1, we are actively developing additional novel delivery technologies, including antibodies and peptides, to extend our City Platform into other tissues.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Target Discovery and Validation</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Because RNAi can silence almost any gene, the choice of target is as consequential as the molecule that silences it, and we begin every program with biology validated through human genetics. We have established a genetics capability that combines statistical genetic approaches with access to comprehensive human genetic data linked to electronic medical records of over 1 million participants to build confidence around any target that we nominate. Using this capability, we can perform analyses on any clinical or physical measurement to build genetic support for our targets, including verifying biology, de-risking potential safety liabilities, and substantiating our therapeutic hypotheses.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used this genetics-first discipline to de-risk our pipeline: FXI, RBP4, and TFR2, are each genetically and/or clinically validated targets whose human biology pointed to both efficacy and tolerability before we even entered the clinic. Paired with our RNAi trigger engineering and delivery conjugates, target discovery is designed to ensure that the therapeutics we build are aimed at biology the human genome has already validated.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Summary of the City Platform</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three capabilities of the City Platform reinforce one another: a genetically validated target, engineered into a potent and specific RNAi trigger molecule, delivered by a conjugate tuned to the tissue. We aim to build unmatched potency and specificity into every development candidate we design by optimizing trigger molecule engineering built upon our deep RNAi therapeutics expertise, our proprietary cityRNA capability, and AI/ML driven molecular design. We believe our City Platform is a durable competitive advantage that supports our goal of filing one to two new IND or IND-equivalent applications per year.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Licensing Agreements, Partnerships, Collaborations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Bausch + Lomb Research Collaboration and License Agreement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July 8, 2024, we entered into a Research Collaboration and License Agreement (the “B+L Agreement”) with Bausch + Lomb. Pursuant to the B+L Agreement, we (i) agreed to undertake a research program to discover a certain licensed product intended to enable Bausch + Lomb to develop and subsequently commercialize such licensed product in the field of ocular disease and (ii) granted Bausch + Lomb an option to obtain an exclusive, worldwide license to certain of our intellectual property to develop, manufacture and commercialize a licensed product in the field of ocular disease.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terms of the B+L Agreement, the parties agreed to collaborate pursuant to a research plan under which we will use certain commercially reasonable efforts to perform specified research activities overseen by a joint research committee.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Bausch + Lomb has an option, exercisable for a specified period, to select one or more development candidates for further development and commercialization. Upon exercise of such option and payment of a certain development candidate selection fee, we agreed to grant Bausch + Lomb an exclusive, worldwide, royalty-bearing sublicensable license under the licensed technology to exploit a licensed product in the field of ocular disease. Following such election, Bausch + Lomb will have, at its expense, sole responsibility for development, manufacturing, regulatory, and commercialization activities related to the licensed product, subject to the use of certain commercially reasonable efforts.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term of the B+L Agreement, subject to specified exceptions, we are restricted from researching, developing, manufacturing or commercializing competing products directed to the collaboration target and, for a limited period, certain related targets and retinal disease programs.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B+L Agreement, we received a non-refundable, non-creditable upfront payment of $5.0 million from Bausch + Lomb. Simultaneously upon execution of the B+L Agreement, we issued a convertible note to Bausch + Lomb in an aggregate amount of $10.0 million, bearing interest at 8.0% per annum and maturing on July 8, 2027, unless earlier converted, which subsequently converted into shares of our Series B convertible preferred stock.</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also eligible to receive (i) a certain development candidate selection fee and certain other development, regulatory, commercial and sales milestones, collectively up to an aggregate of $485.0 million, and (ii) tiered royalties ranging from mid-single digits to low-double digits on annual net sales of licensed products, subject to customary reductions and an overall royalty floor. Upon expiration of the applicable royalty term, the license becomes fully paid-up, perpetual, irrevocable, and royalty-free.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agreement expires or terminates following specified stages of the collaboration and we subsequently commercialize a licensed molecule generated under the research program, we are required to pay Bausch + Lomb a low-single digit royalty on future net sales of products containing such licensed molecule for a fixed royalty term following first commercial sale.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Unless earlier terminated, the B+L Agreement will remain in force until the earlier of (i) the occurrence of any development candidate selection termination condition, or (ii) the expiration of the last-to-expire royalty term for all licensed products. Bausch + Lomb may terminate for convenience, in its entirety or on a country-by-country basis, upon prior written notice. Either party may terminate for an uncured material breach, subject to a specified cure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Biogen Research Collaboration and License Agreement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May 23, 2025, we entered into a Research Collaboration and License Agreement (the “Biogen Agreement”) with Biogen. Pursuant to the Biogen Agreement, we agreed to collaborate with Biogen to undertake a research plan to discover and develop certain RNAi triggers that inhibit the expression of a target protein and conjugates of such RNAi triggers.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research term, each party agreed to grant the other a non-exclusive, royalty-free, worldwide license under certain research technology solely to perform research activities under an agreed research plan. We also granted Biogen an exclusive, worldwide, royalty-bearing license to certain of our intellectual property, with the right to sublicense through multiple tiers, to develop, manufacture and commercialize licensed compounds and licensed products in the field in the territory. However, unless and until Biogen elects one or more development candidates for further development and commercialization, Biogen is restricted from clinically developing or commercializing licensed compounds or licensed products. Following a development candidate selection, Biogen has sole responsibility, at its expense, for development, manufacturing, regulatory, medical affairs, and commercialization activities related to such selected development candidate.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terms of the Biogen Agreement, the parties agreed to conduct research pursuant to a research plan overseen by a joint research committee and joint research team, with Biogen holding final decision-making authority, subject to specified limitations.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granted Biogen an option, exercisable during a specified period and upon specified terms, to designate one additional target, subject to execution of a separate collaboration and license agreement on substantially the same terms and an additional payment of a specified option exercise fee.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terms of the Biogen Agreement, we received a non-refundable, non-creditable upfront payment of $16.0 million from Biogen. We are eligible to receive an additional non-refundable upfront payment upon the satisfaction of certain conditions relating to our upstream license with OSIF. We remain responsible for payments due under our upstream license agreements. Simultaneously with the execution of the Biogen Agreement, we issued a convertible note to Biogen in an aggregate principal amount of $30.0 million, bearing interest at 8.0% per annum and maturing on July 1, 2027.</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also eligible to receive up to an aggregate of approximately $1.0 billion in potential research, development, commercial, and sales milestones, along with tiered royalties ranging from high-single digits to low-double digits on annual net sales of licensed products, subject to customary reductions and an overall royalty floor. Upon expiration of the applicable royalty term, the license becomes fully paid-up, perpetual, irrevocable and royalty-free.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Unless earlier terminated, the Biogen Agreement will continue on a licensed product-by-licensed product and country-by-country basis, until the latest of: (i) the date on which there is no royalty-bearing patent claim with respect to such licensed product in such country, (ii) the expiration of all regulatory exclusivity for such licensed product in such country, and (iii) a specified number of years after the first commercial sale of such licensed product in such country.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Either party may terminate the agreement if Biogen has not made at least one RNAi trigger candidate selection or the development candidate selection by the applicable outside date. Biogen may terminate the agreement for convenience, in its entirety or on a country-by-country and licensed product-by-licensed product basis, upon prior written notice. Either party may also terminate for an uncured material breach, subject to a specified cure period, which may be extended upon submission of a reasonable cure plan.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OSIF Exclusive License Agreement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October 30, 2023, we entered into an Exclusive License Agreement (as amended, the “OSIF License Agreement”), with OSIF. Under the OSIF License Agreement, we obtained an exclusive, royalty-bearing license to certain patent rights to make, have made, use, sell, and import certain licensed products, subject to certain terms and restrictions therein.</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execution of the OSIF License Agreement, we issued equity securities representing 5% of our fully diluted capitalization as of the effective date of the agreement, and agreed to issue additional equity securities to OSIF from time to time as necessary to maintain OSIF’s pro rata ownership percentage until we have received a specified amount of equity financing proceeds. The OSIF License Agreement has been subsequently amended to add additional patent rights and technology disclosures to the licensed intellectual property, and we reimbursed OSIF for patent prosecution costs associated with such additional patent rights.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terms of the OSIF License Agreement, we are required to pay OSIF tiered low-single digit running royalties on annual net sales of each licensed product, subject to limited offsets for third-party royalty obligations. Following the first commercial sale of a licensed product in a major market, we are also required to pay OSIF a specified minimum annual royalty amount. In addition, we are required to pay OSIF a total of up to $4.2 million for each licensed product upon achievement of specified clinical development, regulatory approval, and commercial sales milestones.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OSIF License Agreement also requires us to pay OSIF tiered low-double digit percentages of certain non-royalty sublicense consideration, with the applicable percentage depending on the stage of development at which the sublicense is granted. In addition, we are responsible for certain patent costs incurred after the effective date of the agreement and annual maintenance fees.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Unless earlier terminated, the OSIF License Agreement continues until the expiration of the last to expire of the patent rights. At our option, we may terminate upon prior written notice. OSIF may terminate the agreement at its option immediately upon delivery of prior written notice if any specified events occur, including: (i) our failure to make any payment when due; (ii) breach of any non-payment provision; or (iii) if we or our affiliates or sublicensees initiate any proceeding to challenge the validity, enforceability, ownership, or scope of the patent rights, in each case pursuant to specified cure periods.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Intellectual Property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view intellectual property as a core strategic asset and an important component of our strategy to lead the next generation of RNAi therapeutics. We have assembled, and continue to expand, a broad and multi-layered intellectual property portfolio covering our City Platform, which includes: our RNAi trigger toolkit (e.g., improved canonical siRNAs and our proprietary cityRNAs); delivery technologies; and RNAi chemistry. We have also assembled and continue to build a robust intellectual property portfolio covering our RNAi therapeutic candidates, and related methods of use. This portfolio is anchored in innovations generated through our internal research and development activities, including discoveries made by our scientists as they advance our City Platform and product candidates, together with intellectual property exclusively in-licensed from OSIF and other third-party rights that we may identify as strategically important to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intellectual property strategy is deliberate, iterative, and designed to evolve as our City Platform and pipeline mature. We seek to capture and protect innovation generated within City across all stages of discovery and development, including improvements in RNAi trigger design, RNAi chemistry, extrahepatic delivery, RNAi therapeutic candidates, manufacturing processes, and other know-how that may be important to our current and future programs. At the same time, we actively monitor the external intellectual property landscape to identify third-party technologies, patent rights, know-how, and other assets that may be useful to complement, strengthen, or extend our proprietary position. Where appropriate, we may pursue licenses, collaborations, acquisitions, or other arrangements to access such third-party intellectual property.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Rather than relying on a single category of protection, we seek to build multiple, reinforcing layers of intellectual property around our City Platform and product candidates. These layers may include patent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rights directed to RNAi trigger structures and designs; chemical modifications and motifs intended to improve potency, selectivity, durability, and tolerability; delivery ligands and conjugates designed for extrahepatic tissues; RNAi therapeutic compositions of matter and methods of treatment; manufacturing processes; and proprietary know-how and trade secrets arising from our internal research and development activities. We believe this layered approach is important to protecting the breadth of innovations underlying our City Platform and our current and future RNAi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objective is to continue to expand, strengthen, and maintain our intellectual property portfolio as we advance our product candidates, further develop our City Platform, and generate additional data and technical insights. We intend to pursue patent protection in the United States and selected jurisdictions outside the United States where we believe protection is commercially important, and we may seek additional patent protection as we identify new platform innovations, including delivery technologies, chemistry motifs, RNAi trigger designs, and RNAi therapeutic candidates. We also rely, and expect to continue to rely, on trade secrets, confidential know-how, regulatory exclusivities, patent term extensions, and other available forms of intellectual property and regulatory protection to support our proprietary position.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July 1, 2026, our portfolio is comprised of 15 patent families, including 10 pending U.S. patent applications, four pending foreign patent applications in Europe and Hong Kong and six Patent Cooperation Treaty (“PCT”) applications that have not yet entered national phase. Any patents issuing from or claiming priority to these applications, if granted, are expected to expire between 2041 and 2047, excluding any patent term adjustment or extension and assuming payment of all required maintenance, renewal, and annuity fees.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patent rights, we rely on trade secrets and proprietary know-how relating to our City Platform, candidate-selection processes, manufacturing methods, screening approaches and other aspects of our research and development operations. We expect trade secrets and know-how to remain important.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City Platform Intellectual Property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City Platform-related intellectual property spans three principal categories: RNAi triggers, including improved canonical siRNA and cityRNA triggers; chemistry and related structural optimizations; and delivery molecules, including ligands designed to deliver to the eye, CNS and adipose tissue. Our platform portfolio includes owned and exclusively in-licensed patent rights and know-how intended to protect compositions, methods of design, methods of use and other innovations relevant to the next generation RNAi triggers and extrahepatic delivery molecules.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RNAi trigger-related portfolio is intended to protect both next generation canonical siRNAs and cityRNAs. Our chemistry-related intellectual property is intended to protect proprietary motifs and other design features relevant to RNAi trigger optimization and intended to enhance potency, selectivity, durability or tissue reach. Our delivery-related intellectual property is intended to protect ligand compositions and related methods directed to extrahepatic delivery, including technologies relevant to the delivery to the liver, eye, CNS and adipose tissue. Taken together, we believe these rights support a layered protection strategy around the modular architecture of our City Platform.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City Platform-related intellectual property relates broadly to our existing RNAi therapeutic candidates and those we may develop in the future and the indications we target or may target in the future. We in-licensed patent rights related to cityRNAs from OSIF. As of July 1, 2026, we in-licensed four non-provisional U.S. patent applications, two pending PCT patent applications, and four foreign patent applications in Europe and Hong Kong. We expect patents issuing from or claiming priority to these pending applications, if any, to expire between 2041 and 2046, excluding any patent term adjustments or extensions.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have also filed one City owned U.S. provisional application directed to compositions and methods relating to City’s improvements to cityRNAs and one City owned U.S. provisional directed to compositions and methods directed to City’s improvements to canonical siRNAs. We expect patents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issuing from or claiming priority to these pending applications, if any, to expire between 2046 and 2047, excluding any patent term adjustments or extensions.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City owns one PCT patent application and one U.S. provisional application directed to LRP1 targeting ligands for extrahepatic delivery. We expect patents issuing from or claiming priority to these pending applications, if any, to expire in 2046, excluding any patent term adjustments, or extensions.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Therapeutic/Candidate Intellectual Property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RNAi candidate-related patent filings are intended to protect RNAi compositions, formulations, methods of use, and related inventions directed to our current and future therapeutic programs.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CITY-FXI</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CITY-FXI, our filings are intended to protect siRNA candidates directed to reducing expression of FXI in thrombotic disease, including relevant compositions and therapeutic uses. As of July 1, 2026, we own one U.S. provisional patent application and one PCT application related to siRNA compositions of matter and methods of treatment. We expect patents issuing from these pending patent applications, if any, to expire between 2045 and 2047, excluding any patent term adjustments or extensions.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CITY-RBP4</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CITY-RBP4, our filings are intended to protect siRNA candidates directed to RBP4 inhibition for the treatment of ocular disease, including Stargardt disease and other retinal indications. As of July 1, 2026, we owned one PCT application related to siRNA compositions of matter and methods of treating ocular disease. We expect patents issuing from or claiming priority to this pending patent application, if any, to expire in 2046, excluding any patent term adjustments or extensions.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CITY-TFR2</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CITY-TFR2, our filings are intended to protect siRNA candidates directed to reducing expression of TFR2 for anemia indications, including myelofibrosis-associated anemia and other chronic inflammatory conditions we may pursue. As of July 1, 2026, we own one PCT application related to siRNA compositions of matter and methods of treating anemia of chronic disease. We expect patents issuing from or claiming priority to this application, if any, to expire in 2046, excluding any patent term adjustments or extensions.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Other Disease Areas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our disease programs listed above, we also have patent applications relating to novel RNAi therapeutic candidates and their use for treating additional disorders that would benefit from inhibition. As of July 1, 2026, we own patent applications directed to RNAi compositions and methods of treatment for neurological and ocular disorders. We expect patents issuing from or claiming priority to these pending applications, if any, to expire between 2046 and 2047 excluding any patent term adjustments or extensions.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file, and expect to continue to file, patent applications directed to discovery-stage programs and other disease areas that may benefit from our platform technologies. Our objective is to maintain a portfolio that protects both current clinical-stage candidates and future programs arising from our City Platform.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Manufacturing and Supply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do not own or operate, and currently have no plans to establish, any manufacturing facilities. We have engaged, and expect to continue to rely on, well-established third-party contract development and manufacturing organizations (“CDMOs”) to supply our product candidates for use in our preclinical studies and clinical trials. Because we rely on CDMOs, we employ personnel with extensive technical, manufacturing, analytical, and quality experience to oversee contract manufacturing and testing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activities, and to compile manufacturing and quality information for our regulatory submissions. We believe our CDMOs have the scale, systems, and experience to supply our currently planned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we intend to rely on third-party CDMOs for later-stage development and commercial manufacturing, if our product candidates receive marketing approval. As our lead product candidates advance through clinical development, we expect to enter into longer-term commercial supply agreements to fulfill and secure our production needs. While the drug substances used in our product candidates are manufactured by more than one supplier, the number of manufacturers is limited. In the event it is necessary or advisable to acquire supplies from an alternative supplier, we might not be able to obtain them on commercially reasonable terms, if at all. It could also require significant time and expense to redesign our manufacturing processes to work with another company. If we need to change manufacturers during the clinical or development stage for product candidates or after commercialization for our product candidates, if approved, the FDA, European Medicines Agency (“EMA”) and corresponding foreign regulatory agencies must approve these new manufacturers in advance, which will involve testing and additional inspections to ensure compliance with FDA regulations and standards and may require significant lead times and delay. Reliance on third-party CDMOs may expose us to different risks than if we were to manufacture and develop product candidates ourselves. Should any of these manufacturers become unavailable to us for any reason, we believe that there are a number of potential replacements, although we may incur some delay in identifying and qualifying such replacements.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adequately meet our projected commercial manufacturing needs, our CDMOs will need to scale-up production, or we will need to secure additional suppliers. Processes for producing drug substances and drug product for commercial supply are currently being developed, with the goal of achieving reliable, reproducible, and cost-effective production. We believe the drug substance and drug product processes for our current product candidates can be appropriately scaled.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Commercialization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Given our stage of development, we have not yet established a commercial organization or distribution capabilities. We plan to independently commercialize our products, if approved, in the United States and other regions where we determine it makes commercial sense to do so. At the appropriate time, we will recruit a sales force and a medical affairs team and take other steps to establish the necessary commercial infrastructure. However, as product candidates advance through our pipeline, our plans may change.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Competition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biopharmaceutical industry is characterized by rapidly advancing technologies, intense competition, and a strong emphasis on proprietary and novel products and product candidates. We face a broad spectrum of current and potential competitors, ranging from very large, global pharmaceutical companies with significant resources to other biotechnology companies with resources and expertise comparable to our own. We believe that for most or all of our drug development programs, there will be one or more competing programs in other companies. In many cases, the companies with competing programs will have access to greater resources and expertise than we do and may be more advanced.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RNAi therapeutics expand beyond rare diseases to other more common conditions, an increasing number of other companies are investing in and developing RNAi therapeutic products, as well as potentially new approaches that may result in more rapid development of RNAi therapeutics or more effective technologies for RNAi drug development or delivery.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Companies that have developed, or are developing, siRNA therapeutics include ADARx Pharmaceuticals, Inc., Alnylam, Amgen Inc., Argo Biopharmaceutical Co., Ltd., Aro Biotherapeutics, Arrowhead Pharmaceuticals, Inc., AstraZeneca plc, Dyne Therapeutics, Inc., Eli Lilly and Company, GlaxoSmithKline plc, Ionis Pharmaceuticals, Novartis, Novo Nordisk A/S, SanegeneBio Inc., Sarepta Therapeutics, Inc., Silence Therapeutics plc, and Sirius Therapeutics, Inc.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competitors have developed, are developing or may develop product candidates and products competitive with CITY-FXI, CITY-RBP4, and CITY-TFR2 and our other programs and product candidates.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CITY-FXI, CITY-RBP4, and CITY-TFR2 and any future product candidates that we successfully develop and commercialize will compete with existing therapies and new therapies that may become available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lead product candidate, CITY-FXI, is being developed for thromboembolic diseases through silencing of coagulation FXI. Multiple therapeutic approaches targeting FXI are currently in development, including small molecules, monoclonal antibodies, and RNAi therapeutics. Companies active in this field include ADARx Pharmaceuticals, Inc., Bayer AG, Bristol-Myers Squibb Company, CRISPR Therapeutics AG partnered with Sirius Therapeutics, Inc., Johnson &amp; Johnson, Novartis AG, Regeneron Pharmaceuticals, Inc., and others.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CITY-RBP4 is being developed for Stargardt disease, for which current treatment options are limited. Numerous companies are developing potential therapies for Stargardt disease using a variety of approaches, including visual cycle modulation, gene therapy, gene editing, and RNA-based therapeutics. Companies active in this area include Alkeus Pharmaceuticals, Inc., Belite Bio, Inc. and others.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CITY-TFR2 is being developed for anemia of chronic disease. Therapeutic approaches under development or in clinical use include hepcidin-targeted agents, including a monoclonal antibody from Disc Medicine, Inc., erythropoiesis-stimulating agents, hypoxia-inducible factor prolyl hydroxylase inhibitors, iron replacement therapies, and other approaches intended to improve iron availability or erythropoiesis.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competitors include larger and better-funded pharmaceutical biotechnological and therapeutics companies. Smaller or early-stage companies may also prove to be significant competitors, particularly through collaborative arrangements with large and established companies. Moreover, we may also compete with universities, governmental agencies, and other public and private research institutions that may be active in research in our target indications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and enrolling subjects for clinical trials and in identifying and in-licensing intellectual property related to new product candidates, as well as entering into partnerships, collaborations, and license arrangements.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our product candidates do not offer advantages over available products, we may not be able to successfully compete against current and future competitors. The key factors affecting the success of our products, if approved, are likely to be their potential efficacy, safety, convenience, and availability of reimbursement.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Government Regulation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Government authorities in the United States, at the federal, state, and local level, and in other countries and jurisdictions, including the European Union (“EU”), extensively regulate, among other things, the research, development, testing, manufacturing, quality control, safety, effectiveness,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require the expenditure of substantial time and financial resources. Even after obtaining initial marketing approval, a product and its manufacturer remain subject to extensive, continuing regulatory requirements, including with respect to manufacturing, quality control, adverse event reporting, advertising and promotion and periodic inspections by regulatory authorities.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Review and Approval of Drugs in the United States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United States, the FDA regulates drugs under the U.S. Federal Food, Drug, and Cosmetic Act (“FDCA”), and its implementing regulations. The failure to comply with applicable U.S. requirements at any time during the product development process, approval process, or after approval may subject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applicant and/or sponsor to a variety of administrative or judicial sanctions, including refusal by the FDA to approve pending applications, withdrawal of an approval, imposition of a clinical hold, issuance of warning letters, and other types of letters, product seizures, total or partial suspension of production or distribution, injunctions, fines, product recalls, and other post-market actions, refusals of government contracts, restitution, disgorgement of profits, or civil or criminal investigations, and penalties brought by the FDA and the U.S. Department of Justice or other governmental entities.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applicant seeking approval to market and distribute a new drug product in the United States must typically undertake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completion of nonclinical, or preclinical, laboratory tests, animal studies, and formulation studies in compliance with the FDA’s good laboratory practice (“GLP”) regulations;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93">
                <wp:simplePos x="0" y="0"/>
                <wp:positionH relativeFrom="column">
                  <wp:align>left</wp:align>
                </wp:positionH>
                <wp:positionV relativeFrom="line">
                  <wp:align>top</wp:align>
                </wp:positionV>
                <wp:extent cx="254000" cy="350520"/>
                <wp:effectExtent l="0" t="0" r="0" b="0"/>
                <wp:wrapSquare wrapText="right"/>
                <wp:docPr id="391" name="Frame3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submission to the FDA of an IND, which must take effect before human clinical trials may begin;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94">
                <wp:simplePos x="0" y="0"/>
                <wp:positionH relativeFrom="column">
                  <wp:align>left</wp:align>
                </wp:positionH>
                <wp:positionV relativeFrom="line">
                  <wp:align>top</wp:align>
                </wp:positionV>
                <wp:extent cx="254000" cy="350520"/>
                <wp:effectExtent l="0" t="0" r="0" b="0"/>
                <wp:wrapSquare wrapText="right"/>
                <wp:docPr id="392" name="Frame3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approval by an institutional review board (“IRB”), representing each clinical site before each clinical trial may be initiated at that site;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5">
                <wp:simplePos x="0" y="0"/>
                <wp:positionH relativeFrom="column">
                  <wp:align>left</wp:align>
                </wp:positionH>
                <wp:positionV relativeFrom="line">
                  <wp:align>top</wp:align>
                </wp:positionV>
                <wp:extent cx="254000" cy="350520"/>
                <wp:effectExtent l="0" t="0" r="0" b="0"/>
                <wp:wrapSquare wrapText="right"/>
                <wp:docPr id="393" name="Frame3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performance of adequate and well-controlled human clinical trials in accordance with good clinical practices (“GCPs”), to establish the safety and efficacy of the proposed drug product for each indication;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6">
                <wp:simplePos x="0" y="0"/>
                <wp:positionH relativeFrom="column">
                  <wp:align>left</wp:align>
                </wp:positionH>
                <wp:positionV relativeFrom="line">
                  <wp:align>top</wp:align>
                </wp:positionV>
                <wp:extent cx="254000" cy="350520"/>
                <wp:effectExtent l="0" t="0" r="0" b="0"/>
                <wp:wrapSquare wrapText="right"/>
                <wp:docPr id="394" name="Frame3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preparation and submission to the FDA of a New Drug Application (“NDA”), and payment of user fees;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7">
                <wp:simplePos x="0" y="0"/>
                <wp:positionH relativeFrom="column">
                  <wp:align>left</wp:align>
                </wp:positionH>
                <wp:positionV relativeFrom="line">
                  <wp:align>top</wp:align>
                </wp:positionV>
                <wp:extent cx="254000" cy="350520"/>
                <wp:effectExtent l="0" t="0" r="0" b="0"/>
                <wp:wrapSquare wrapText="right"/>
                <wp:docPr id="395" name="Frame3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 of the product by an FDA advisory committee, where appropriate or if applicable;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8">
                <wp:simplePos x="0" y="0"/>
                <wp:positionH relativeFrom="column">
                  <wp:align>left</wp:align>
                </wp:positionH>
                <wp:positionV relativeFrom="line">
                  <wp:align>top</wp:align>
                </wp:positionV>
                <wp:extent cx="254000" cy="350520"/>
                <wp:effectExtent l="0" t="0" r="0" b="0"/>
                <wp:wrapSquare wrapText="right"/>
                <wp:docPr id="396" name="Frame3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satisfactory completion of one or more FDA inspections of the manufacturing facility or facilities at which the product, or components thereof, are produced to assess compliance with current Good Manufacturing Practices (“cGMP”) requirements and to assure that the facilities, methods and controls are adequate to preserve the product’s identity, strength, quality, and purity;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9">
                <wp:simplePos x="0" y="0"/>
                <wp:positionH relativeFrom="column">
                  <wp:align>left</wp:align>
                </wp:positionH>
                <wp:positionV relativeFrom="line">
                  <wp:align>top</wp:align>
                </wp:positionV>
                <wp:extent cx="254000" cy="350520"/>
                <wp:effectExtent l="0" t="0" r="0" b="0"/>
                <wp:wrapSquare wrapText="right"/>
                <wp:docPr id="397" name="Frame3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satisfactory completion of FDA audits of clinical trial sites to assure compliance with GCPs and the integrity of the clinical data;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254000" cy="350520"/>
                <wp:effectExtent l="0" t="0" r="0" b="0"/>
                <wp:wrapSquare wrapText="right"/>
                <wp:docPr id="398" name="Frame3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FDA review and approval of the NDA.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1">
                <wp:simplePos x="0" y="0"/>
                <wp:positionH relativeFrom="column">
                  <wp:align>left</wp:align>
                </wp:positionH>
                <wp:positionV relativeFrom="line">
                  <wp:align>top</wp:align>
                </wp:positionV>
                <wp:extent cx="254000" cy="350520"/>
                <wp:effectExtent l="0" t="0" r="0" b="0"/>
                <wp:wrapSquare wrapText="right"/>
                <wp:docPr id="399" name="Frame3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Preclinical Studies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Before an applicant begins testing a compound in humans, the drug candidate enters the preclinical testing stage. Preclinical studies include, among other things, laboratory evaluation of the purity and stability of the manufactured drug substance or active pharmaceutical ingredient (“API”), and the formulated drug or drug product, as well as in vitro and animal studies to assess the potential safety and activity of the drug for initial testing in humans and to establish a rationale for therapeutic use. The conduct of certain preclinical studies is subject to federal regulations and requirements, including GLP regulations. Some long-term preclinical testing, such as animal tests of reproductive adverse events (“AEs”), and carcinogenicity, may continue after the IND is submitted.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IND and IRB Processes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An IND is an exemption from the FDCA that allows an investigational drug to be shipped in interstate commerce for use in a clinical trial and a request for FDA authorization to administer such investigational drug to humans. Such authorization must be secured prior to interstate shipment and administration of the investigational drug. In an IND, applicants must submit a protocol for each clinical trial and any subsequent protocol amendments. In addition, the results of the preclinical tests, manufacturing information, analytical data, any available clinical data or literature and plans for clinical trials, among other things, are submitted to the FDA as part of an IND. An IND automatically becomes effective 30 days after receipt by the FDA, unless before that time, the FDA raises concerns or questions related to one or more proposed clinical trials and places the trial on clinical hold. The FDA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also may impose a clinical hold or partial clinical hold after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study is conducted in accordance with GCP, among other things, including review and approval by an independent ethics committee and obtaining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the foregoing IND requirements, an IRB representing each institution participating in the clinical trial must review and approve the plan for any clinical trial before it commences at that institution, and the IRB must conduct continuing review of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some trials are overseen by an independent group of qualified experts organized by the trial sponsor, known as a data safety monitoring board or committee. This group provides advice to the sponsor as to whether or not a trial may move forward at designated check points based on pre-specified criteria and access that only the group maintains to available data from the study. The FDA or the sponsor may suspend or terminate a clinical trial at any time on various grounds, including a finding that the research subjects are being exposed to an unacceptable health risk.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Information about certain clinical trials must be submitted within specific timeframes to the National Institutes of Health for public dissemination on its ClinicalTrials.gov website. Failure to timely register a covered clinical study or to submit study results as provided for in the law can give rise to public notifications of noncompliance, civil monetary penalties, and also prevent the non-compliant party from receiving future grant funds from the federal government.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Human Clinical Trials in Support of an NDA</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trials involve the administration of the investigational product to human subjects under the supervision of qualified investigators in accordance with GCP requirements, which include, among other things, the requirement that all research subjects, or their legal representative,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Human clinical trials are typically conducted in three sequential phases, which may overlap or be combined: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Phase 1</w:t>
      </w:r>
      <w:r>
        <w:rPr>
          <w:rFonts w:ascii="Helvetica;Arial;sans-serif" w:hAnsi="Helvetica;Arial;sans-serif"/>
          <w:b w:val="false"/>
          <w:i w:val="false"/>
          <w:caps w:val="false"/>
          <w:smallCaps w:val="false"/>
          <w:color w:val="000000"/>
          <w:spacing w:val="-2"/>
          <w:sz w:val="20"/>
        </w:rPr>
        <w:t>.   The product candidate is initially introduced into healthy human subjects or in patients with the targeted disease or condition in certain indications such as cancer to test for safety, dosage tolerance, absorption, metabolism, distribution, excretion, and, if possible, to gain an early indication of its effectiveness.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2">
                <wp:simplePos x="0" y="0"/>
                <wp:positionH relativeFrom="column">
                  <wp:align>left</wp:align>
                </wp:positionH>
                <wp:positionV relativeFrom="line">
                  <wp:align>top</wp:align>
                </wp:positionV>
                <wp:extent cx="254000" cy="350520"/>
                <wp:effectExtent l="0" t="0" r="0" b="0"/>
                <wp:wrapSquare wrapText="right"/>
                <wp:docPr id="400" name="Frame3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Phase 2</w:t>
      </w:r>
      <w:r>
        <w:rPr>
          <w:rFonts w:ascii="Helvetica;Arial;sans-serif" w:hAnsi="Helvetica;Arial;sans-serif"/>
          <w:b w:val="false"/>
          <w:i w:val="false"/>
          <w:caps w:val="false"/>
          <w:smallCaps w:val="false"/>
          <w:color w:val="000000"/>
          <w:spacing w:val="-2"/>
          <w:sz w:val="20"/>
        </w:rPr>
        <w:t>.   The product candidate is administered to a limited patient population with the specified disease or condition to identify possible AEs and safety risks, to preliminarily evaluate the efficacy of the product for specific targeted diseases or conditions, and to determine dosage tolerance and optimal dosage.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03">
                <wp:simplePos x="0" y="0"/>
                <wp:positionH relativeFrom="column">
                  <wp:align>left</wp:align>
                </wp:positionH>
                <wp:positionV relativeFrom="line">
                  <wp:posOffset>635</wp:posOffset>
                </wp:positionV>
                <wp:extent cx="254000" cy="350520"/>
                <wp:effectExtent l="0" t="0" r="0" b="0"/>
                <wp:wrapSquare wrapText="right"/>
                <wp:docPr id="401" name="Frame3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Phase 3.   </w:t>
      </w:r>
      <w:r>
        <w:rPr>
          <w:rFonts w:ascii="Helvetica;Arial;sans-serif" w:hAnsi="Helvetica;Arial;sans-serif"/>
          <w:b w:val="false"/>
          <w:i w:val="false"/>
          <w:caps w:val="false"/>
          <w:smallCaps w:val="false"/>
          <w:color w:val="000000"/>
          <w:spacing w:val="-2"/>
          <w:sz w:val="20"/>
        </w:rPr>
        <w:t>The product candidate is administered to an expanded patient population, generally at geographically dispersed clinical trial sites, in well-controlled clinical trials with the intent to generate enough data to evaluate the efficacy and safety of the product for approval, to establish the overall risk-benefit profile of the product candidate and to provide adequate information for the labeling of the product.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04">
                <wp:simplePos x="0" y="0"/>
                <wp:positionH relativeFrom="column">
                  <wp:align>left</wp:align>
                </wp:positionH>
                <wp:positionV relativeFrom="line">
                  <wp:align>top</wp:align>
                </wp:positionV>
                <wp:extent cx="254000" cy="350520"/>
                <wp:effectExtent l="0" t="0" r="0" b="0"/>
                <wp:wrapSquare wrapText="right"/>
                <wp:docPr id="402" name="Frame3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Post-approval studies, sometimes referred to as Phase 4 studies, may be conducted after initial regulatory approval. These studies are used to gain additional experience from the treatment of patients in the intended therapeutic indication. In certain instances, the FDA may mandate the performance of Phase 4 clinical trials as a condition of approval of an NDA.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the IND is active, progress reports detailing the results of the clinical trials, among other information, must be submitted at least annually to the FDA. In addition, within 15 calendar days after the sponsor determines that the information qualifies for reporting, IND safety reports must be submitted to the FDA for any of the following: serious and unexpected suspected adverse reactions; findings from other studies or animal or in vitro testing that suggest a significant risk in humans exposed to the drug; and any clinically important increase in the case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applicant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Review of an NDA by the FDA</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 significant application user fee as well as annual prescription drug product program fees. These fees are typically increased annually. Certain exceptions and waivers are available for some of these fees.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Pediatric Research Equity Act (“PREA”) requires a sponsor to conduct pediatric clinical trials for most drugs, for a new active ingredient, new indication, new dosage form, new dosing regimen or new route of administration. Under PREA,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product candidate is ready for approval for use in adults before pediatric clinical trials are complete or that additional safety or effectiveness data needs to be collected before any pediatric clinical trials begin. The FDA must send a non-compliance letter to any sponsor that fails to submit the required assessment, keep a deferral current or fails to submit a request for approval of a pediatric formulation.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conducts a preliminary review of an NDA within 60 days of its receipt, before accepting the NDA for filing,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a product is safe and effective for its intended use and whether its manufacturing is cGMP compliant to assure and preserve the product’s identity, strength, quality, and purity. Under the performance goals and policies implemented by the FDA under the Prescription Drug User Fee Act (“PDUFA”), FDA has agreed to specified performance goals in the review process of NDAs. Applications for drugs containing new molecular entities are meant to be reviewed within 10 months from the date of filing, and applications for “priority review” products containing new molecular entities are meant to be reviewed within six months of filing. The review process may be extended by the FDA for three additional months if FDA requests or the applicant otherwise provides additional information or clarification regarding information already provided in the submission within the last three months before the PDUFA goal date or is otherwise deemed a “major amendment” to the application.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its review of an NDA, the FDA typically will inspect the facility or facilities where the product is or will be manufactured. These pre-approval inspections may cover all facilities associated with an NDA, including drug component manufacturing (such as APIs), finished drug product manufacturing, and control testing laboratories. The FDA will not approve an NDA unless it determines that the manufacturing processes and facilities are in compliance with cGMP requirements and adequate to assure consistent production of the product within required specifications. In addition, the FDA will typically inspect one or more clinical sites to assure compliance with GCP and the integrity of the clinical data submitted.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as a condition of approval, the FDA may require an applicant to develop a risk evaluation and mitigation strategy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AEs,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Fast Track, Breakthrough Therapy, and Priority Review</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has a number of programs intended to facilitate and expedite development and review of investigational drugs if they are intended to address an unmet medical need in the treatment of a serious or life-threatening disease or condition. Three of these programs are referred to as Fast Track Designation, Breakthrough Therapy Designation, and priority review designation.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First, the FDA may designate a product candidate for Fast Track review if it is intended, whether alone or in combination with one or more other products, for the treatment of a serious or life-threatening disease or condition, and it demonstrates the potential to address unmet medical needs for such disease or condition. For Fast Track product candidates, sponsors may have greater interactions with the FDA and the FDA may initiate review of sections of a Fast Track product candidate’s application before the application is complete. This rolling review may be available if the FDA determines, after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preliminary evaluation of clinical data submitted by the sponsor, that a Fast Track product candidate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Second, a product candidate may be designated as a Breakthrough Therapy if it is intended, either alone or in combination with one or more other drug products,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Breakthrough Therapy Designation includes all of the benefits associated with Fast Track Designation, including the potential for rolling review of an NDA submission. In addition,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Third, the FDA may designate an NDA review for a priority review if it is for a product candidate that treats a serious or life-threatening disease or condition and, if approved, would provide a significant improvement in safety or effectiveness compared to available therapies. The FDA determines, on a case-by-case basis, whether the product candidate may represent a significant improvement when compared with other available therapies. Significant improvement may be illustrated, among other things,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10 months to six months.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Accelerated Approval Pathway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may grant accelerated approval to a product candidate intended to treat a serious or life-threatening condition that provides meaningful therapeutic advantage to patients over existing treatments based upon a determination that the product candidate has an effect on a surrogate endpoint that is reasonably likely to predict clinical benefit or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accelerated approval pathway is often used in settings in which the course of a disease is long and an extended period of time is required to measure the intended clinical benefit of a product, even if the effect on the surrogate or intermediate clinical endpoint occurs rapidly.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accelerated approval pathway is typically contingent on a sponsor’s agreement to conduct, in a diligent manner, additional post-approval confirmatory studies to verify and describe the product’s anticipated clinical benefit. As a result, a product candidate approved on this basis is subject to rigorous post-marketing compliance requirements, including the completion of Phase 4 or other post-approval clinical trials to verify and describe the anticipated the effect on the clinical endpoint. Under the Food and Drug Omnibus Reform Act of 2022 (“FDORA”), the FDA is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generally requires, unless otherwise informed by the agency, pre-approval of promotional materials for product candidates approved under accelerated regulations, which could adversely impact the timing of the commercial launch of the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Orphan Drug Designation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 product that has orphan designation subsequently receives the first FDA approval for the disease or condition for which it has such designation, the product is entitled to orphan exclusivity, which means that the FDA may not approve any other applications to market the same for the same approved use or indication within such rare disease or condition for seven years, except in limited circumstances, such as a showing of clinical superiority to the product with orphan exclusivity or inability to manufacture the product in sufficient quantities of the orphan drug to meet the needs of patients with the disease or condition for which the drug was designated. Orphan drug exclusivity does not prevent the FDA from approving a different drug for the same approved indication or use, or the same drug for a different indication or use. Among the other benefits of orphan drug designation are tax credits for certain research and a waiver of the NDA application user fee.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designated orphan drug may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within the relevant approved use or indication or the manufacturer of the approved product is unable to assure sufficient quantities of the product to meet the needs relating to the approved use or indication of patients with the relevant rare disease or condition.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Rare Pediatric Disease Designation and Priority Review Vouchers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Under the FDCA, the FDA incentivizes the development of drugs and biological products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or biological product for such disease or condition will be recovered from sales in the United States of such drug or biological product. The sponsor of a product candidate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a rare pediatric disease may be eligible for a voucher that can be used to obtain a priority review for a subsequent human drug or biological product application after the date of approval of the rare pediatric disease drug or biological product, referred to as a PRV. A sponsor may request rare pediatric disease designation from the FDA prior to the submission of its NDA. A rare pediatric disease designation does not guarantee that a sponsor will receive a PRV upon approval of its NDA.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through September 30, 2029.</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FDA’s Decision on an NDA</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the basis of the FDA’s evaluation of the NDA and accompanying information, including the results of any inspections of the manufacturing facilities and select clinical trial sites,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 complete response letter is issued, the applicant may resubmit the NDA to address all of the deficiencies identified in the letter, withdraw the application, or request a hearing. If the applicant resubmits the NDA, the FDA will issue an approval letter only when the deficiencies have been addressed to the FDA’s satisfaction. The FDA has committed to reviewing such resubmissions in two or six months depending on the type of information included. Even with submission of this additional information, the FDA ultimately may decide that the application does not satisfy the regulatory criteria for approval. In September 2025, the FDA began publishing complete response letters soon after issuing them to the respective sponsors, breaking with long standing agency tradition of publishing complete response letters with approval documentation after the product is approved.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or effectiveness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Post-Approval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Drugs manufactured or distributed pursuant to FDA approvals are subject to pervasive and continuing regulation by the FDA, including, among other things, requirements relating to recordkeeping, periodic reporting, product sampling and distribution, advertising, and promotion, reporting of adverse experiences with the product and applicable product tracking and tracing requirements. After approval, many changes to the approved product, such as adding new indications or other labeling claims, are subject to prior FDA review and approval. There also are annual prescription drug product program fee requirements for certain marketed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drug manufacturers and other entities involved in the manufacture and distribution of approved drugs, and those supplying products, ingredients, and components of them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NDA holder and any third-party manufacturers that the NDA holder may decide to use. Manufacturers and other parties involved in the drug supply chain for prescription drug products must also comply with product tracking and tracing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requirements and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restrictions on the marketing or manufacturing of the product, complete withdrawal of the product from the market, or voluntary product recalls;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05">
                <wp:simplePos x="0" y="0"/>
                <wp:positionH relativeFrom="column">
                  <wp:align>left</wp:align>
                </wp:positionH>
                <wp:positionV relativeFrom="line">
                  <wp:align>top</wp:align>
                </wp:positionV>
                <wp:extent cx="254000" cy="350520"/>
                <wp:effectExtent l="0" t="0" r="0" b="0"/>
                <wp:wrapSquare wrapText="right"/>
                <wp:docPr id="403" name="Frame3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fines, warning, or untitled letters or holds on post-approval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06">
                <wp:simplePos x="0" y="0"/>
                <wp:positionH relativeFrom="column">
                  <wp:align>left</wp:align>
                </wp:positionH>
                <wp:positionV relativeFrom="line">
                  <wp:align>top</wp:align>
                </wp:positionV>
                <wp:extent cx="254000" cy="350520"/>
                <wp:effectExtent l="0" t="0" r="0" b="0"/>
                <wp:wrapSquare wrapText="right"/>
                <wp:docPr id="404" name="Frame3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refusal of the FDA to approve pending applications or supplements to approved applications, or suspension or revocation of product approvals;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07">
                <wp:simplePos x="0" y="0"/>
                <wp:positionH relativeFrom="column">
                  <wp:align>left</wp:align>
                </wp:positionH>
                <wp:positionV relativeFrom="line">
                  <wp:align>top</wp:align>
                </wp:positionV>
                <wp:extent cx="254000" cy="350520"/>
                <wp:effectExtent l="0" t="0" r="0" b="0"/>
                <wp:wrapSquare wrapText="right"/>
                <wp:docPr id="405" name="Frame3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seizure or detention, or refusal to permit the import or export of products;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08">
                <wp:simplePos x="0" y="0"/>
                <wp:positionH relativeFrom="column">
                  <wp:align>left</wp:align>
                </wp:positionH>
                <wp:positionV relativeFrom="line">
                  <wp:align>top</wp:align>
                </wp:positionV>
                <wp:extent cx="254000" cy="350520"/>
                <wp:effectExtent l="0" t="0" r="0" b="0"/>
                <wp:wrapSquare wrapText="right"/>
                <wp:docPr id="406" name="Frame3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injunctions or the imposition of civil or criminal penalties.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09">
                <wp:simplePos x="0" y="0"/>
                <wp:positionH relativeFrom="column">
                  <wp:align>left</wp:align>
                </wp:positionH>
                <wp:positionV relativeFrom="line">
                  <wp:align>top</wp:align>
                </wp:positionV>
                <wp:extent cx="254000" cy="350520"/>
                <wp:effectExtent l="0" t="0" r="0" b="0"/>
                <wp:wrapSquare wrapText="right"/>
                <wp:docPr id="407" name="Frame3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strictly regulates marketing, labeling, advertising, and promotion of products that are placed on the market. Drugs may be promoted only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Hatch-Waxman Amendments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The FDA may also require companies to perform additional studies or measurements, including clinical trials, to support the change from the approved branded reference drug. The FDA may then approve the new product candidate for all, or some, of the labeled indications for which the branded reference drug has been approved, as well as for any new indication sought by the 505(b)(2) applicant.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drug through in vitro, in vivo, or other testing. In certain situations, an applicant may obtain ANDA 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Non-Patent Exclusivity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Hatch-Waxman Amendments, the FDA may not approve (or in some cases accept) an ANDA or 505(b)(2) application until any applicable period of non-patent exclusivity for the RLD has expired.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original product approval.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FDCA also provides for a period of three years of exclusivity for non-NCE drugs if the NDA or a supplement to the NDA includes reports of one or more new clinical investigations, other than bioavailability or bioequivalence studies, that were conducted by or for the applicant and are essential to the approval of the application or supplement. This three-year exclusivity period often protects changes to a previously approved drug product, such as a new dosage form, route of administration, combination, or indication, but it generally would not protect the original, unmodified product from generic competition. Unlike five-year NCE exclusivity, an award of three-year exclusivity does not block the FDA from accepting ANDAs seeking approval for generic versions of the drug as of the date of approval of the original drug product; it only prevents FDA from approving such ANDAs.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drug product can obtain pediatric market exclusivity in the United States. Pediatric exclusivity, if granted, adds six months to existing exclusivity periods for all formulations, dosage forms, and indications of the active moiety and to patent terms. This six-month exclusivity, which runs from the end of other exclusivity protection and patent term, may be granted based on the voluntary completion of a pediatric study in accordance with an FDA-issued “Written Request” for such a study, provided that at the time pediatric exclusivity is granted there is not less than nine months of term remaining.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Hatch-Waxman Patent Certification and the 30-Month Stay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seeking approval of an NDA or a supplement thereto, NDA sponsors are required to list with the FDA each patent with claims that cover the applicant’s product or an approved method of using the product. Upon approval of an NDA, each of the patents listed in the application for the drug is published in the FDA’s Approved Drug Products with Therapeutic Equivalence Evaluations, commonly known as the Orange Book. Upon submission of an ANDA or 505(b)(2) NDA, an applicant is required to certify to the FDA concerning any patents listed for the RLD in the Orange Book that: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 patent information on the drug product that is the subject of the application has been submitted to the FDA;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10">
                <wp:simplePos x="0" y="0"/>
                <wp:positionH relativeFrom="column">
                  <wp:align>left</wp:align>
                </wp:positionH>
                <wp:positionV relativeFrom="line">
                  <wp:align>top</wp:align>
                </wp:positionV>
                <wp:extent cx="254000" cy="350520"/>
                <wp:effectExtent l="0" t="0" r="0" b="0"/>
                <wp:wrapSquare wrapText="right"/>
                <wp:docPr id="408" name="Frame3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patent has expired;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11">
                <wp:simplePos x="0" y="0"/>
                <wp:positionH relativeFrom="column">
                  <wp:align>left</wp:align>
                </wp:positionH>
                <wp:positionV relativeFrom="line">
                  <wp:align>top</wp:align>
                </wp:positionV>
                <wp:extent cx="254000" cy="350520"/>
                <wp:effectExtent l="0" t="0" r="0" b="0"/>
                <wp:wrapSquare wrapText="right"/>
                <wp:docPr id="409" name="Frame3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date on which such patent expires;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12">
                <wp:simplePos x="0" y="0"/>
                <wp:positionH relativeFrom="column">
                  <wp:align>left</wp:align>
                </wp:positionH>
                <wp:positionV relativeFrom="line">
                  <wp:align>top</wp:align>
                </wp:positionV>
                <wp:extent cx="254000" cy="350520"/>
                <wp:effectExtent l="0" t="0" r="0" b="0"/>
                <wp:wrapSquare wrapText="right"/>
                <wp:docPr id="410" name="Frame3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patent is invalid, unenforceable, or will not be infringed upon by the manufacture, use, or sale of the drug product for which the application is submitted.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13">
                <wp:simplePos x="0" y="0"/>
                <wp:positionH relativeFrom="column">
                  <wp:align>left</wp:align>
                </wp:positionH>
                <wp:positionV relativeFrom="line">
                  <wp:align>top</wp:align>
                </wp:positionV>
                <wp:extent cx="254000" cy="350520"/>
                <wp:effectExtent l="0" t="0" r="0" b="0"/>
                <wp:wrapSquare wrapText="right"/>
                <wp:docPr id="411" name="Frame3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is submitted four years after approval, the 30-month stay is extended so that it expires seven and a half years after approval of the innovator drug, unless the patent expires or there is a decision in the infringement case that is favorable to the ANDA applicant before then.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Patent Term Restoration and Extension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patent claiming a new drug product may be eligible for a limited patent term extension under the Hatch-Waxman Amendments, which permits a patent term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provided the sponsor acted with diligence.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and within 60 days of drug approval. A patent that covers multiple drugs for which approval is sought can only be extended in connection with one of the approvals. The U.S. Patent and Trademark Office (“USPTO”) reviews and approves the application for any patent term extension or restoration in consultation with the FDA.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Rest of the World Regulation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other countries outside of the United States, including those in Europe, Latin America, or Asia, the requirements governing product development, the conduct of clinical trials, product marketing, product licensing, pricing and reimbursement can vary from country to country. Failure to comply with applicable foreign regulatory requirements may subject sponsors, manufacturers, or marketers of pharmaceutical products to, among other things, fines, suspension, or withdrawal of regulatory authorizations and approvals, product recalls, seizure of products, operating restrictions and criminal prosecution.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Review and Approval of Medicinal Products in the European Union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order to market any product outside of the United States, a company must also comply with numerous and varying regulatory requirements of other countries and jurisdictions regarding quality, safety, and efficacy, and governing, among other things, clinical trials, obtaining marketing authorization (“MA”),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similar lines as in the United States. It entails satisfactory completion of preclinical studies and adequate and well-controlled clinical trials to establish the safety and efficacy of the product for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proposed indication. It also requires the submission to the relevant competent authorities of an MA application (“MAA”), and granting of an MA by these authorities before the product can be marketed and sold in the EU.</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Non-clinical Studies and Clinical Trials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Similarly to the United States, the various phases of non-clinical and clinical research in the EU are subject to significant regulatory controls.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Non-clinical studies are performed to demonstrate the health or environmental safety of new chemical or biological substances. Non-clinical (pharmaco-toxicological) studies must be conducted in compliance with GLP, as set forth in EU Directive 2004/10/EC (unless otherwise justified for certain particular medicinal products, e.g., radio-pharmaceutical precursors for radio-labeling purposes). These GLP standards reflect the Organization for Economic Co-operation and Development requirements.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EU Clinical Trials Regulation (“CTR”), which was adopted in April 2014 and repealed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the EU Clinical Trials Directive required a separate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Clinical Trials Information System. Once the CTA is approved, clinical study development may proceed.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Medicines used in clinical trials must be manufactured in accordance with Good Manufacturing Practice (“GMP”). Other national and EU-wide regulatory requirements may also apply.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Marketing Authorization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order to market our product candidates in the EU and many other foreign jurisdictions, we must obtain separate regulatory approvals. More concretely, in the EU, medicinal product candidates can only be commercialized after obtaining an MA. To obtain an MA, an applicant must submit an MAA either under a centralized procedure administered by the European Medicines Agency (“EMA”), or one of the procedures administered by competent authorities in the EU member states (decentralized procedure or mutual recognition procedure) for obtaining an MA in multiple EU Member States.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Centralized MAs” are issued by the European Commission through the centralized procedure based on the opinion of the Committee for Medicinal Products for Human Use (“CHMP”) of the EMA, and are valid throughout the EU. Pursuant to Regulation (EC) No 726/2004, the centralized procedure is compulsory for specific products, including for therapeutics produced by certain biotechnological processes, products designated as orphan medicinal products, advanced therapy medicinal products (gene therapy, somatic cell therapy, and tissue-engineered products) and products with a new active substance indicated for the treatment of certain diseases, including products for the treatment of HIV, AIDS, cancer, diabetes, neurodegenerative diseases,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centralized procedure, the maximum timeframe for the evaluation of an MAA by the EMA is 210 days, excluding clock stops, when additional information or written or oral explanation is to be provided by the applicant in response to questions asked by the CHMP. Clock stops may extend the timeframe of evaluation of an MAA considerably beyond 210 days. Accelerated evaluation might be granted by the CHMP in exceptional cases, when a medicinal product is of major interest from a public health perspective and in particular from the point of view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67 days from the date of the CHMP opinion, the European Commission will adopt its final decision on the MAA.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Periods of Authorization and Renewals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MA has an initial validity of five years. The MA may be renewed after five years on the basis of a re-evaluation of the risk-benefit balance by the EMA or by the competent authority of the relevant EU member state for a nationally authorized product. To this end, the MA holder must provide the EMA or the competent authority with a consolidated version of the file in respect of quality, safety, and efficacy, including all variations introduced since the MA was granted, at least nine months before the MA ceases to be valid. Once renewed, the MA is valid for an unlimited period, unless the European Commission or the competent authorities of the relevant member states decide, on justified grounds relating to pharmacovigilance, to proceed with one further five year renewal period. Any authorization which is not followed by the actual placing of the medicinal product on the EU market (for centrally-authorized products) or on the market of the authorizing EU member state (for nationally-authorized products) within three years after authorization ceases to be valid (the so-called “sunset clause”).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Data and Market Exclusivity</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EU, innovative medicinal products approved on the basis of a complete and independent data package generally receive eight years of data exclusivity and an additional two years of market exclusivity upon grant of an MA. The data exclusivity period prevents applicants for authorization of generics or biosimilars of these innovative products from referencing the innovator’s preclinical and clinical trial data contained in the dossier of the reference product when applying for a generic or biosimilar (abbreviated) MA, for a period of eight years from the date on which the reference product was first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authorized in the EU. During an additional two-year period of market exclusivity, a generic or biosimilar MAA can be submitted,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an MA based on an MAA with a complete and independent data package of pharmaceutical tests, preclinical tests and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Orphan Medicinal Products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life-threatening or chronically debilitating condition, (2) either (i) such condition affects no more than five in ten thousand persons in the EU when the application is made, or (ii) without the benefits derived from orphan status, it is unlikely that the marketing of the product in the EU would generate sufficient return to justify the necessary investment in its development; (3) there exists no satisfactory method of diagnosis, prevention, or treatment of the condition in question that has been authorized in the EU or, if such method exists, the product would be of significant benefit to those affected by that condition.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orphan designation provides a number of benefits, including fee reductions, regulatory assistance, and the possibility to apply for a centralized EU MA. Upon grant of an MA, orphan medicinal products are entitled to a ten-year period of market exclusivity, which means that the EMA and the competent authorities of the EU member states cannot accept another MAA, or grant an MA, or accept an application to extend an MA for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period of market exclusivity may be extended by two years for orphan medicinal products that have also complied with an agreed pediatric investigation plan (“PIP”). No extension to any supplementary protection certificate (“SPC”) can be granted on the basis of pediatric studies for orphan indications. Orphan designation does not convey any advantage in, or shorten the duration of, the regulatory review and approval process.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orphan exclusivity period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an MA may be granted to a similar product for the same indication as an authorized orphan product at any time if (i) a second applicant can establish that its product, although similar to the authorized orphan product, is safer, more effective or otherwise clinically superior; (ii) the MA holder for the authorized orphan product consents to a second medicinal product application; or (iii) the MA holder for the authorized product cannot supply enough orphan medicinal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Pediatric Development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Regulation (EC) No 1901/2006 provides that prior to obtaining an MA in the EU, applicants have to demonstrate compliance with all measures included in a PIP, agreed with the EMA’s Pediatric Committee (“PDCO”), and covering all subsets of the pediatric population, unless the PDCO has granted (1) a product-specific waiver, (2) a class waiver, or (3) a deferral for one or more of the measures included in the PIP. The PIP sets out the timing and measures proposed to generate data to support a pediatric indication of the product for which an MA is being sought. Products that are granted an MA with the results of the pediatric clinical trials conducted in accordance with the PIP are eligible for a six-month extension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of the protection under an SPC provided an application for such extension is made at the same time as filing the SPC application for the product, or at any point up to two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Post-Approval Requirements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Similar to the United States, both MA holders and manufacturers of medicinal products are subject to comprehensive regulatory oversight by the EMA, the European Commission and/or the competent regulatory authorities of the member states. The holder of an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new MAAs must include a risk management plan (“RMP”), describing the risk management system that the company will put in place and documenting measures to prevent or minimize the risks associated with the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in the EU.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aforementioned EU rules are generally applicable in the European Economic Area (“EEA”), which consists of the EU member states plus Norway, Liechtenstein, and Iceland.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to comply with EU and member state laws that apply to the conduct of clinical trials, manufacturing approval, authorization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an MA, product withdrawals and recalls, product seizures, suspension, withdrawal or variation of the MA, total or partial suspension of production, distribution, manufacturing, or clinical trials, operating restrictions, injunctions, suspension of licenses, fines, and criminal penalties.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Reform of the Regulatory Framework in the European Union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European Commission introduced legislative proposals in April 2023 intended to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was agreed upon on December 11, 2025, in the context of subsequent inter-institutional trilogue negotiations. The proposed revisions remain to be formally adopted into EU law, and are not expected to become applicable before 2028.</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Brexit and the Regulatory Framework in the United Kingdom</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Following the end of the Brexit transition period on January 1, 2021 and the implementation of the Windsor Framework on January 1, 2025, the United Kingdom (“UK”) is not generally subject to EU laws in respect of medicines. The EU laws that have been transposed into UK law through secondary legislation remain applicable in the UK; however, new legislation such as the (EU) CTR is not applicable in the UK.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Medicines and Medical Devices Act 2021, the Secretary of State or an ‘appropriate authority’ have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January 1, 2021, the Medicines and Healthcare products Regulatory Agency (“MHRA”) is the UK’s standalone medicines and medical devices regulator. As a result of the Northern Ireland Protocol, different rules initially applied in Northern Ireland than in England, Wales, and Scotland (together, “Great Britain”, or GB), as Northern Ireland continued to follow the EU regulatory regime for a period of time following Brexit.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UK regulatory framework in relation to clinical trials is governed by the Medicines for Human Use (Clinical Trials) Regulations 2004, as amended, which is derived from the Clinical Trials Directive, as implemented into UK national law through secondary legislation. In April 2025, the UK introduced the Medicines for Human Use (Clinical Trials) (Amendment) Regulations, with the aim of creating a streamlined, risk-proportionate system that accelerates approvals while maintaining robust safety standards. Following a 12-month implementation period, the amended regulations came fully into force on 28 April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in October 2023, the MHRA announced a new Notification Scheme for clinical trials which enables a more streamlined and risk-proportionate approach to initial clinical trial applications for Phase 4 and low-risk Phase 3 clinical trial applications.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MAs in the UK are governed by the Human Medicines Regulations (SI 2012/1916), as amended. All existing EU MAs for centrally authorized products were automatically converted or grandfathered into UK MAs, effective in GB (only), free of charge on January 1, 2021, unless the MA holder chose to opt-out. Under the terms of the Windsor Framework, these licenses became valid for the whole of the UK from January 1, 2025. In order to use the centralized procedure to obtain an MA that will be valid throughout the EEA, companies must be established in the EEA. Therefore, after Brexit, companies established in the UK can no longer use the EU centralized procedure and instead an EEA entity must hold any centralized MAs. In order to obtain a UK MA to commercialize products in the UK, an applicant must follow one of the UK national authorization procedures or one of the remaining post-Brexit international cooperation procedures. The MHRA has introduced changes to national licensing procedures, including procedures to prioritize access to new medicines that will benefit patients, a 150-day assessment (subject to clock-stops) and a rolling review procedure. The rolling-review procedure permits the separate or joint submission of quality, non-clinical, and clinical data to the MHRA which can be reviewed on a rolling basis. After an application under the rolling-review procedure has been validated, the final decision should be received within 100 days (subject to clock-stops). In addition, since January 1, 2024, the MHRA may rely on the International Recognition Procedure (“IRP”), when reviewing certain types of MAAs. Pursuant to the IRP, the MHRA will take into account the expertise and decision-making of trusted regulatory partners (e.g. the medicines regulatory authorities in Australia, Canada, Switzerland, Singapore, Japan, the U.S.A. and the EMA in the EU). The MHRA will conduct a targeted assessment of IRP applications but retain the authority to reject applications if the evidence provided is considered insufficiently robust. Applications should be decided within a maximum of 60 days if there are no major objections identified that cannot be resolved within such 60 day period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approval from the trusted regulatory partner selected has been granted within the previous 2 years. If there are such major objections identified or such approval hasn’t been granted within the previous 2 years, then the relevant timeframe for the MHRA decision is within 110 days. Applicants can submit initial MAAs to the IRP but the procedure can also be used throughout the lifecycle of a product for post-authorization procedures including line extensions, variations, and renewals.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UK, the initial duration of an MA is five years and following renewal will be valid for an unlimited period unless the MHRA decides on justified grounds relating to pharmacovigilance, to proceed with only one additional five-year renewal. Any authorization which is not followed by the actual placing of the medicine on the market in the UK (or GB, if the MA is only valid in GB) within three (3) years shall cease to be in force.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is no pre-MA orphan designation in the UK. Instead, the MHRA reviews applications for orphan designation in parallel to the corresponding MA application. The criteria are essentially the same, but have been tailored for the market, i.e., the prevalence of the condition in the UK, rather than the EU, must not be more than five in 10,000. Should an orphan designation be granted, the period of market exclusivity will be set from the date of first approval of the product in the UK.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Coverage and Reimbursement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success of our product candidates, if approved, depends on the availability of coverage and adequate reimbursement from third-party payors. We cannot be sure that coverage and reimbursement will be available for our product candidates, nor can we accurately estimate the potential revenue from them. Similarly, we cannot assure that coverage and reimbursement will be available for any product that we may develop.</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United States,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are critical to new product acceptance.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the use of a product 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covered benefit under its health plan;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4">
                <wp:simplePos x="0" y="0"/>
                <wp:positionH relativeFrom="column">
                  <wp:align>left</wp:align>
                </wp:positionH>
                <wp:positionV relativeFrom="line">
                  <wp:align>top</wp:align>
                </wp:positionV>
                <wp:extent cx="254000" cy="350520"/>
                <wp:effectExtent l="0" t="0" r="0" b="0"/>
                <wp:wrapSquare wrapText="right"/>
                <wp:docPr id="412" name="Frame3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safe, effective and medically necessary;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5">
                <wp:simplePos x="0" y="0"/>
                <wp:positionH relativeFrom="column">
                  <wp:align>left</wp:align>
                </wp:positionH>
                <wp:positionV relativeFrom="line">
                  <wp:align>top</wp:align>
                </wp:positionV>
                <wp:extent cx="254000" cy="350520"/>
                <wp:effectExtent l="0" t="0" r="0" b="0"/>
                <wp:wrapSquare wrapText="right"/>
                <wp:docPr id="413" name="Frame3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appropriate for the specific patient;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6">
                <wp:simplePos x="0" y="0"/>
                <wp:positionH relativeFrom="column">
                  <wp:align>left</wp:align>
                </wp:positionH>
                <wp:positionV relativeFrom="line">
                  <wp:align>top</wp:align>
                </wp:positionV>
                <wp:extent cx="254000" cy="350520"/>
                <wp:effectExtent l="0" t="0" r="0" b="0"/>
                <wp:wrapSquare wrapText="right"/>
                <wp:docPr id="414" name="Frame3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cost-effective;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7">
                <wp:simplePos x="0" y="0"/>
                <wp:positionH relativeFrom="column">
                  <wp:align>left</wp:align>
                </wp:positionH>
                <wp:positionV relativeFrom="line">
                  <wp:align>top</wp:align>
                </wp:positionV>
                <wp:extent cx="254000" cy="350520"/>
                <wp:effectExtent l="0" t="0" r="0" b="0"/>
                <wp:wrapSquare wrapText="right"/>
                <wp:docPr id="415" name="Frame3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neither experimental nor investigational.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18">
                <wp:simplePos x="0" y="0"/>
                <wp:positionH relativeFrom="column">
                  <wp:align>left</wp:align>
                </wp:positionH>
                <wp:positionV relativeFrom="line">
                  <wp:align>top</wp:align>
                </wp:positionV>
                <wp:extent cx="254000" cy="350520"/>
                <wp:effectExtent l="0" t="0" r="0" b="0"/>
                <wp:wrapSquare wrapText="right"/>
                <wp:docPr id="416" name="Frame3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In the United States, the principal decisions about reimbursement for new medicines are typically made by the Centers for Medicare and Medicaid Services (“CMS”). CMS decides whether and to what extent a new medicine will be covered and reimbursed under Medicare and private payors tend to follow CMS to a substantial degree.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is significant uncertainty related to insurance coverage and reimbursement of newly approved products. It is difficult to predict at this time what third-party payors will decide with respect to the coverage and reimbursement for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existing regulations, guidance or interpretations will be changed, or what the impact of such changes on the marketing approvals or clearances of our product candidates, if any, may be.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Healthcare Reform and Other Regulatory Changes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Patient Protection and Affordable Care Act, as amended by the Health Care and Education Reconciliation Act (each as amended, collectively known as the “ACA”), which was enacted in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Since its enactment, there have been judicial and Congressional challenges to certain aspects of the ACA, and we expect there will be additional challenges and amendments to the ACA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legislative changes that have been proposed and adopted in the United States since the ACA was enacted include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Budget Control Act of 2011, among other things, created measures for spending reductions by Congress. This includes aggregate reductions of Medicare payments to providers of 2% per fiscal year. Subsequent legislation extended the 2% reduction which remains in effect through 2032.</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419">
                <wp:simplePos x="0" y="0"/>
                <wp:positionH relativeFrom="column">
                  <wp:align>left</wp:align>
                </wp:positionH>
                <wp:positionV relativeFrom="line">
                  <wp:align>top</wp:align>
                </wp:positionV>
                <wp:extent cx="254000" cy="350520"/>
                <wp:effectExtent l="0" t="0" r="0" b="0"/>
                <wp:wrapSquare wrapText="right"/>
                <wp:docPr id="417" name="Frame3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March 11, 2021, President Biden signed the American Rescue Plan Act of 2021 into law, which eliminated the statutory Medicaid drug rebate cap, previously set at 100% of a drug’s average manufacturer price, for single source and innovator multiple source drugs, effective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420">
                <wp:simplePos x="0" y="0"/>
                <wp:positionH relativeFrom="column">
                  <wp:align>left</wp:align>
                </wp:positionH>
                <wp:positionV relativeFrom="line">
                  <wp:align>top</wp:align>
                </wp:positionV>
                <wp:extent cx="254000" cy="350520"/>
                <wp:effectExtent l="0" t="0" r="0" b="0"/>
                <wp:wrapSquare wrapText="right"/>
                <wp:docPr id="418" name="Frame3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the Inflation Reduction Act of 2022 (the “IRA”) included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beginning January 1, 2026 for certain high-cost drugs and biologics without generic or biosimilar competition; require companies to pay rebates to Medicare for certain drug prices that increase faster than inflation; and delay until January 1, 2032 the implementation of the Department of Health and Human Services’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Under the One Big Beautiful Bill Act of 2025, this restriction was eliminated; and effective for the 2028 initial price applicability year, all orphan drugs, regardless of the number of orphan drug designations or indications, are exempt from the Medicare drug price negotiation program. Although the effects of the IRA on our business and the healthcare industry in general are not yet fully understood, we are taking into consideration the potential impact of the IRA on our development and commercialization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 of prescription drugs and biological products has also been the subject of considerable discussion in the United States. At a federal level, President Trump reversed some of President Biden’s executive orders including rescinding Executive Order 14087 entitled “Lowering Prescription Drug Costs for Americans.” President Trump may issue new executive orders designed to impact prescription product pricing. A number of these and other proposed measures may require authorization through additional legislation to become effective. Congress and the Trump administration have indicated that they will continue to seek new legislative measures to control prescription product costs.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currently proposed as a voluntary MFN framework for manufacturers participating in the Medicaid Drug Rebate Program. Although it is voluntary, the GENEROUS Model could also impact the drug pricing landscape for manufacturers.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at the state level, legislatures have increasingly passed legislation and implemented regulations similar to those under consideration at the federal level, as well as laws designed to control pharmaceutical and biotherapeutic product pricing, including restrictions on pricing or reimbursement at the state government level, limitations on discounts to patients, marketing cost disclosure and transparency measures, restrictions or other limitations on patient assistance, and, in some cases, policies to encourage importation from other countries (subject to federal approval) and bulk purchasing.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Review and Approval of Medicinal Products in Australia</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Therapeutic Goods Administration (“TGA”) and the National Health and Medical Research Council (“NHMRC”) set the GCP requirements for clinical research in Australia.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Compliance with the regulations, standards and codes set by the TGA and NHMRC is mandatory. Under the Therapeutic Goods Act 1989 (Cth) and the Therapeutic Goods Regulations 1990 (Cth), it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 condition (amongst other conditions) of all clinical trials involving investigational medicinal products to comply with the National Statement on Ethical Conduct in Research Involving Humans, published by the NHMRC (the National Statement), and the Guideline for Good Clinical Practice published by the International Council for Harmonization of Technical Requirements for Registration of Pharmaceuticals for Human Use (“ICH Guidelines”). The ICH Guidelines have been adopted in Australia, and must be complied with across all fields of clinical research involving therapeutic goods, including those related to pharmaceutical quality, nonclinical and clinical data requirements and trial designs. The basic requirements for preclinical data to support a first-in-human trial under ICH Guidelines are applicable in Australia. Requirements related to adverse event reporting in Australia are generally similar to those required in other major jurisdictions (and there is alignment with the European Union’s Clinical Trial Regulations: Regulation EU No 536/2014), although reporting timeframes may differ to other jurisdictions.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trials conducted using “unapproved therapeutic goods” in Australia, being those which have not yet been evaluated by the TGA for quality, safety and efficacy (and including unapproved indications of therapeutic goods which have otherwise been approved for use in Australia) must occur pursuant to either the Clinical Trial Notification Scheme (“CTN Scheme”) or the Clinical Trial Approval Scheme (“CTA Scheme”). In each case, the trial is supervised by a Human Research Ethics Committee (“HREC”), an independent review committee constituted in accordance with the National Statement that ensures the protection of rights, safety and well-being of human subjects involved in a clinical trial. An HREC reviews, approves and provides continuing oversight of trial protocols (including any amendments), methods and materials intended to be used in obtaining and documenting informed consent of the clinical trial subjects.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CTN Scheme broadly involves: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investigator or sponsor of the Australian clinical trial submitting a ‘Notification of Intent to Conduct a Clinical Trial’ form (“CTN Form”) to the TGA and payment of the relevant fee;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21">
                <wp:simplePos x="0" y="0"/>
                <wp:positionH relativeFrom="column">
                  <wp:align>left</wp:align>
                </wp:positionH>
                <wp:positionV relativeFrom="line">
                  <wp:align>top</wp:align>
                </wp:positionV>
                <wp:extent cx="254000" cy="350520"/>
                <wp:effectExtent l="0" t="0" r="0" b="0"/>
                <wp:wrapSquare wrapText="right"/>
                <wp:docPr id="419" name="Frame3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TGA may request further specific information relating to the ‘unapproved therapeutic goods’ that are the subject of the clinical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22">
                <wp:simplePos x="0" y="0"/>
                <wp:positionH relativeFrom="column">
                  <wp:align>left</wp:align>
                </wp:positionH>
                <wp:positionV relativeFrom="line">
                  <wp:align>top</wp:align>
                </wp:positionV>
                <wp:extent cx="254000" cy="350520"/>
                <wp:effectExtent l="0" t="0" r="0" b="0"/>
                <wp:wrapSquare wrapText="right"/>
                <wp:docPr id="420" name="Frame3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submission to an HREC, of all material relating to the proposed clinical trial, including the trial protocol;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23">
                <wp:simplePos x="0" y="0"/>
                <wp:positionH relativeFrom="column">
                  <wp:align>left</wp:align>
                </wp:positionH>
                <wp:positionV relativeFrom="line">
                  <wp:align>top</wp:align>
                </wp:positionV>
                <wp:extent cx="254000" cy="350520"/>
                <wp:effectExtent l="0" t="0" r="0" b="0"/>
                <wp:wrapSquare wrapText="right"/>
                <wp:docPr id="421" name="Frame3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HREC reviews the scientific validity of the trial design, the balance of risk versus harm of the therapeutic good, the ethical acceptability of the trial process, and approves the trial protocol. The HREC is also responsible for monitoring the conduct of the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24">
                <wp:simplePos x="0" y="0"/>
                <wp:positionH relativeFrom="column">
                  <wp:align>left</wp:align>
                </wp:positionH>
                <wp:positionV relativeFrom="line">
                  <wp:align>top</wp:align>
                </wp:positionV>
                <wp:extent cx="254000" cy="350520"/>
                <wp:effectExtent l="0" t="0" r="0" b="0"/>
                <wp:wrapSquare wrapText="right"/>
                <wp:docPr id="422" name="Frame4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institution or organization at which the trial will be conducted, referred to as the “Approving Authority,” giving final approval for the conduct of the trial at the site, in terms no less restrictive to those advised by the HREC;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25">
                <wp:simplePos x="0" y="0"/>
                <wp:positionH relativeFrom="column">
                  <wp:align>left</wp:align>
                </wp:positionH>
                <wp:positionV relativeFrom="line">
                  <wp:align>top</wp:align>
                </wp:positionV>
                <wp:extent cx="254000" cy="350520"/>
                <wp:effectExtent l="0" t="0" r="0" b="0"/>
                <wp:wrapSquare wrapText="right"/>
                <wp:docPr id="423" name="Frame4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ensuring that the CTN form is signed by the sponsor, the principal investigator, the chairman of the HREC and a person responsible from the Approving Authority. The TGA does not review any data relating to the clinical trial, however CTN trials cannot commence until the trial has been notified to the TGA. It is the responsibility of the sponsor to ensure that all relevant approvals are in place before supplying the ‘unapproved’ therapeutic goods in the clinical trial in Australia.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26">
                <wp:simplePos x="0" y="0"/>
                <wp:positionH relativeFrom="column">
                  <wp:align>left</wp:align>
                </wp:positionH>
                <wp:positionV relativeFrom="line">
                  <wp:align>top</wp:align>
                </wp:positionV>
                <wp:extent cx="254000" cy="350520"/>
                <wp:effectExtent l="0" t="0" r="0" b="0"/>
                <wp:wrapSquare wrapText="right"/>
                <wp:docPr id="424" name="Frame4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CTA Scheme: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sponsor submits an application to conduct a clinical trial to the TGA for evaluation and comment, which includes payment of the relevant fees. The TGA encourages all sponsors to request a pre-submission meeting with the TGA in order to clarify any questions about existing studies or the proposed data package for the CTA application, and obtain specific advice from the TGA relating to the CTA application process, including the best ways to submit the application and dossier;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27">
                <wp:simplePos x="0" y="0"/>
                <wp:positionH relativeFrom="column">
                  <wp:align>left</wp:align>
                </wp:positionH>
                <wp:positionV relativeFrom="line">
                  <wp:align>top</wp:align>
                </wp:positionV>
                <wp:extent cx="254000" cy="350520"/>
                <wp:effectExtent l="0" t="0" r="0" b="0"/>
                <wp:wrapSquare wrapText="right"/>
                <wp:docPr id="425" name="Frame4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TGA will undertake a preliminary assessment to ensure that there is sufficient data to begin evaluation. If critical data is missing, the TGA may request further information;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28">
                <wp:simplePos x="0" y="0"/>
                <wp:positionH relativeFrom="column">
                  <wp:align>left</wp:align>
                </wp:positionH>
                <wp:positionV relativeFrom="line">
                  <wp:align>top</wp:align>
                </wp:positionV>
                <wp:extent cx="254000" cy="350520"/>
                <wp:effectExtent l="0" t="0" r="0" b="0"/>
                <wp:wrapSquare wrapText="right"/>
                <wp:docPr id="426" name="Frame4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sponsor must forward any comments made by the TGA Delegate to the HREC(s) at the sites where the trial will be conducted;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29">
                <wp:simplePos x="0" y="0"/>
                <wp:positionH relativeFrom="column">
                  <wp:align>left</wp:align>
                </wp:positionH>
                <wp:positionV relativeFrom="line">
                  <wp:posOffset>635</wp:posOffset>
                </wp:positionV>
                <wp:extent cx="254000" cy="350520"/>
                <wp:effectExtent l="0" t="0" r="0" b="0"/>
                <wp:wrapSquare wrapText="right"/>
                <wp:docPr id="427" name="Frame4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HREC is responsible for considering the scientific and ethical issues of the proposed trial protocol.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30">
                <wp:simplePos x="0" y="0"/>
                <wp:positionH relativeFrom="column">
                  <wp:align>left</wp:align>
                </wp:positionH>
                <wp:positionV relativeFrom="line">
                  <wp:align>top</wp:align>
                </wp:positionV>
                <wp:extent cx="254000" cy="350520"/>
                <wp:effectExtent l="0" t="0" r="0" b="0"/>
                <wp:wrapSquare wrapText="right"/>
                <wp:docPr id="428" name="Frame4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sponsor cannot commence a trial under the CTA Scheme until written advice has been received from the TGA regarding the application and approval for the conduct of the trial has been obtained from an ethics committee and the institution at which the trial will be conducted.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Approval for inclusion in the Australian Register of Therapeutic Goods (“ARTG”), is required before a therapeutic good (including pharmaceutical product) may be marketed (or supplied, imported, exported or manufactured) in Australia. Exceptions apply to therapeutic goods/pharmaceutical products that are supplied, imported, and exported to and from Australia for the purposes of a clinical trial, on the basis that certain conditions are met (e.g., the trial is conducted in accordance with the CTN or CTA scheme).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Once a sponsor decides to register a therapeutic good/pharmaceutical product in Australia, in order to obtain registration of the product on the ARTG, it is required that (amongst others):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sponsor submits appropriate documentation, including the outcomes of clinical trials and studies, to allow the TGA to assess the quality, safety and efficacy of the therapeutic product/</w:t>
      </w:r>
      <w:r>
        <w:rPr>
          <w:rFonts w:ascii="Helvetica;Arial;sans-serif" w:hAnsi="Helvetica;Arial;sans-serif"/>
          <w:b w:val="false"/>
          <w:i w:val="false"/>
          <w:caps w:val="false"/>
          <w:smallCaps w:val="false"/>
          <w:color w:val="000000"/>
          <w:sz w:val="20"/>
        </w:rPr>
        <w:t>​</w:t>
      </w:r>
      <w:r>
        <w:rPr>
          <w:rFonts w:ascii="Helvetica;Arial;sans-serif" w:hAnsi="Helvetica;Arial;sans-serif"/>
          <w:b w:val="false"/>
          <w:i w:val="false"/>
          <w:caps w:val="false"/>
          <w:smallCaps w:val="false"/>
          <w:color w:val="000000"/>
          <w:spacing w:val="-2"/>
          <w:sz w:val="20"/>
        </w:rPr>
        <w:t>pharmaceutical product;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1">
                <wp:simplePos x="0" y="0"/>
                <wp:positionH relativeFrom="column">
                  <wp:align>left</wp:align>
                </wp:positionH>
                <wp:positionV relativeFrom="line">
                  <wp:align>top</wp:align>
                </wp:positionV>
                <wp:extent cx="254000" cy="350520"/>
                <wp:effectExtent l="0" t="0" r="0" b="0"/>
                <wp:wrapSquare wrapText="right"/>
                <wp:docPr id="429" name="Frame4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sponsor submits evidence which demonstrates that the manufacture of the therapeutic product/pharmaceutical product complies with the applicable GMP requirements.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2">
                <wp:simplePos x="0" y="0"/>
                <wp:positionH relativeFrom="column">
                  <wp:align>left</wp:align>
                </wp:positionH>
                <wp:positionV relativeFrom="line">
                  <wp:align>top</wp:align>
                </wp:positionV>
                <wp:extent cx="254000" cy="350520"/>
                <wp:effectExtent l="0" t="0" r="0" b="0"/>
                <wp:wrapSquare wrapText="right"/>
                <wp:docPr id="430" name="Frame4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TGA has the ultimate discretion to decide whether to include the therapeutic product/</w:t>
      </w:r>
      <w:r>
        <w:rPr>
          <w:rFonts w:ascii="Helvetica;Arial;sans-serif" w:hAnsi="Helvetica;Arial;sans-serif"/>
          <w:b w:val="false"/>
          <w:i w:val="false"/>
          <w:caps w:val="false"/>
          <w:smallCaps w:val="false"/>
          <w:color w:val="000000"/>
          <w:sz w:val="20"/>
        </w:rPr>
        <w:t>​</w:t>
      </w:r>
      <w:r>
        <w:rPr>
          <w:rFonts w:ascii="Helvetica;Arial;sans-serif" w:hAnsi="Helvetica;Arial;sans-serif"/>
          <w:b w:val="false"/>
          <w:i w:val="false"/>
          <w:caps w:val="false"/>
          <w:smallCaps w:val="false"/>
          <w:color w:val="000000"/>
          <w:spacing w:val="-2"/>
          <w:sz w:val="20"/>
        </w:rPr>
        <w:t>pharmaceutical product in the ARTG.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Other Healthcare Laws and Compliance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Arrangements with third-party payors and customers can expose pharmaceutical manufactures to broadly applicable fraud and abuse and other healthcare laws and regulations, including, without limitation, the federal Anti-Kickback Statute and the federal False Claims Act (“FCA”) which may constrain the business or financial arrangements and relationships through which companies research, sell, market and distribute pharmaceutical products. In addition, transparency laws and patient privacy laws can apply to the activities of pharmaceutical manufacturers. The applicable federal, state and foreign healthcare laws and regulations that can affect a pharmaceutical company’s operations include without limitation: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FCA or federal civil monetary penalties. The Anti-Kickback Statute has been interpreted to apply to arrangements between pharmaceutical manufacturers on the one hand and prescribers, purchasers, and formulary managers on the </w:t>
      </w:r>
      <w:r>
        <mc:AlternateContent>
          <mc:Choice Requires="wps">
            <w:drawing>
              <wp:anchor behindDoc="0" distT="76200" distB="0" distL="254000" distR="0" simplePos="0" locked="0" layoutInCell="1" allowOverlap="1" relativeHeight="433">
                <wp:simplePos x="0" y="0"/>
                <wp:positionH relativeFrom="column">
                  <wp:align>left</wp:align>
                </wp:positionH>
                <wp:positionV relativeFrom="line">
                  <wp:align>top</wp:align>
                </wp:positionV>
                <wp:extent cx="254000" cy="350520"/>
                <wp:effectExtent l="0" t="0" r="0" b="0"/>
                <wp:wrapSquare wrapText="right"/>
                <wp:docPr id="431" name="Frame4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There are a number of statutory exceptions and regulatory safe harbors protecting some common activities from prosecution, but such exceptions and safe harbors are drawn narrowly and require strict compliance in order to offer protection;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federal civil and criminal false claims laws, including the FCA, and civil monetary penalty laws,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including providing inaccurate billing or coding information to customers or promoting a product off-label, material to a false or fraudulent claim to the federal government.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34">
                <wp:simplePos x="0" y="0"/>
                <wp:positionH relativeFrom="column">
                  <wp:align>left</wp:align>
                </wp:positionH>
                <wp:positionV relativeFrom="line">
                  <wp:align>top</wp:align>
                </wp:positionV>
                <wp:extent cx="254000" cy="350520"/>
                <wp:effectExtent l="0" t="0" r="0" b="0"/>
                <wp:wrapSquare wrapText="right"/>
                <wp:docPr id="432" name="Frame4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federal Health Insurance Portability and Accountability Act of 1996 (“HIPAA”), which created federal criminal statutes that prohibit,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5">
                <wp:simplePos x="0" y="0"/>
                <wp:positionH relativeFrom="column">
                  <wp:align>left</wp:align>
                </wp:positionH>
                <wp:positionV relativeFrom="line">
                  <wp:align>top</wp:align>
                </wp:positionV>
                <wp:extent cx="254000" cy="350520"/>
                <wp:effectExtent l="0" t="0" r="0" b="0"/>
                <wp:wrapSquare wrapText="right"/>
                <wp:docPr id="433" name="Frame4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HIPAA, as amended by the Health Information Technology for Economic and Clinical Health Act of 2009 (“HITECH”), and their respective implementing regulations, which impose, among other things, specified requirements relating to the privacy, security, and transmission of individually identifiable health information held by covered entities and their business associates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6">
                <wp:simplePos x="0" y="0"/>
                <wp:positionH relativeFrom="column">
                  <wp:align>left</wp:align>
                </wp:positionH>
                <wp:positionV relativeFrom="line">
                  <wp:align>top</wp:align>
                </wp:positionV>
                <wp:extent cx="254000" cy="350520"/>
                <wp:effectExtent l="0" t="0" r="0" b="0"/>
                <wp:wrapSquare wrapText="right"/>
                <wp:docPr id="434" name="Frame4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federal legislation commonly referred to as the Physician Payments Sunshine Act, created under the ACA, and its implementing regulations,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other licensed care professionals, and teaching hospitals, as well as ownership and investment interests held by physicians and their immediate family members;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7">
                <wp:simplePos x="0" y="0"/>
                <wp:positionH relativeFrom="column">
                  <wp:align>left</wp:align>
                </wp:positionH>
                <wp:positionV relativeFrom="line">
                  <wp:align>top</wp:align>
                </wp:positionV>
                <wp:extent cx="254000" cy="350520"/>
                <wp:effectExtent l="0" t="0" r="0" b="0"/>
                <wp:wrapSquare wrapText="right"/>
                <wp:docPr id="435" name="Frame4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Federal government price reporting laws, which require us to calculate and report complex pricing metrics in an accurate and timely manner to government programs;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8">
                <wp:simplePos x="0" y="0"/>
                <wp:positionH relativeFrom="column">
                  <wp:align>left</wp:align>
                </wp:positionH>
                <wp:positionV relativeFrom="line">
                  <wp:align>top</wp:align>
                </wp:positionV>
                <wp:extent cx="254000" cy="350520"/>
                <wp:effectExtent l="0" t="0" r="0" b="0"/>
                <wp:wrapSquare wrapText="right"/>
                <wp:docPr id="436" name="Frame4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Federal consumer protection and unfair competition laws, which broadly regulate marketplace activities and activities that potentially harm consumers;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39">
                <wp:simplePos x="0" y="0"/>
                <wp:positionH relativeFrom="column">
                  <wp:align>left</wp:align>
                </wp:positionH>
                <wp:positionV relativeFrom="line">
                  <wp:align>top</wp:align>
                </wp:positionV>
                <wp:extent cx="254000" cy="350520"/>
                <wp:effectExtent l="0" t="0" r="0" b="0"/>
                <wp:wrapSquare wrapText="right"/>
                <wp:docPr id="437" name="Frame4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w:t>
      </w:r>
      <w:r>
        <mc:AlternateContent>
          <mc:Choice Requires="wps">
            <w:drawing>
              <wp:anchor behindDoc="0" distT="76200" distB="0" distL="254000" distR="0" simplePos="0" locked="0" layoutInCell="1" allowOverlap="1" relativeHeight="440">
                <wp:simplePos x="0" y="0"/>
                <wp:positionH relativeFrom="column">
                  <wp:align>left</wp:align>
                </wp:positionH>
                <wp:positionV relativeFrom="line">
                  <wp:align>top</wp:align>
                </wp:positionV>
                <wp:extent cx="254000" cy="350520"/>
                <wp:effectExtent l="0" t="0" r="0" b="0"/>
                <wp:wrapSquare wrapText="right"/>
                <wp:docPr id="438" name="Frame4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Additionally, some state and local laws require certain regulatory licenses to manufacture or distribute our products commercially and/or the registration of pharmaceutical sales representatives in the jurisdiction.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scope and enforcement of each of these laws is uncertain and subject to rapid change in the current environment of healthcare reform, especially in light of the lack of applicable precedent and regulations with respect to certain laws. Federal and state enforcement bodies have recently increased their scrutiny of interactions between healthcare companies and healthcare providers, which has led to a number of investigations, prosecutions, convictions and settlements in the healthcare industry. Prohibitions or restrictions on sales or withdrawal of future marketed products could materially affect our business in an adverse way.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Ensuring our business arrangements comply with applicable healthcare laws, as well as responding to possible investigations by government authorities, can be time- and resource-consuming and can divert a company’s attention from the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failure to comply with any of these laws or regulatory requirements subjects companies to possible legal or regulatory action. Depending on the circumstances, failure to meet applicable regulatory requirements can result in significant penalties, including civil, criminal, and administrative penalties, damages, fines, disgorgement,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the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Privacy and Data Security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ordinary course of business, we and the third parties upon which we rely collect, receive, store, or otherwise process personal data, including information we may collect about participants in our clinical trials. This personal data can also include data that is considered “sensitive” personal data under privacy laws, policies, or agreements to which we are subject. Accordingly, we are, or we may become, subject to numerous, evolving privacy and data security obligations, including global, federal, state, and local laws, regulations, guidance, industry standards, external and internal privacy and security policies, contractual requirements, and other obligations related to privacy and data security.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These privacy and data security laws are evolving and may impose potentially conflicting obligations. Such obligations may include, without limitation, federal health information privacy laws, state information security and data breach notification laws, state health information privacy laws, and federal and state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consumer protection laws (e.g., the Federal Trade Commission Act). 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Additionally, a smaller number of states have passed or are considering laws governing the privacy of consumer health data. While existing state consumer privacy laws provide exemptions for data processed in the context of clinical trials, the continued development of complex requirements at the state level may further complicate compliance efforts and may impact our business activities, including our identification of research subjects, relationships with business partners and ultimately the marketing and distribution of our products, and are examples of the increasingly stringent and evolving regulatory frameworks related to personal data processing, as more fully discussed in the section titled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to the extent we collect personal data outside of the United States, through clinical trials or otherwise, we are, or may become, subject to foreign data and data security laws, such as the European Union’s General Data Protection Regulation 2016/679 (“EU GDPR”) and other national data protection legislation in force in relevant EEA Member States, and the EU GDPR as it forms part of UK law by virtue of section 3 of the European Union (Withdrawal) Act 2018. Foreign privacy and data security laws impose significant and complex compliance obligations on entities that are subject to those laws and may impose significant sanctions for non-compliance (including fines of up to the greater of 20 million Euros (17.5 million GBP for the UK) or 4% of worldwide annual revenue), as more fully discussed in the section titled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Facilities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corporate headquarters is located in Cambridge, Massachusetts, where we lease and occupy approximately 51,726 square feet of office and laboratory space at 399 Binney Street, Cambridge, Massachusetts. The current term of such lease expires in September 2031.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our facilities are sufficient for our current needs and for the foreseeable future. To meet the future needs of our business, we may lease additional or alternate space. We believe that suitable additional or substitute space at commercially reasonable terms will be available as needed to accommodate any future expansion of our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Employees and Human Capital Resources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June 30, 2026, we had 75 full-time employees. Within our workforce, 67 employees were engaged in research and development, and 8 were engaged in business development, finance, legal, and general management and administration as of June 30, 2026. None of our employees are represented by labor unions or covered by collective bargaining agreements. We consider our relationship with our employees to be good.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stock-based compensation awards in order to increase shareholder value and the success of our company by motivating such individuals to perform to the best of their abilities and achieve our objectives. Our equity incentive plans are heavily weighted towards performance-based vesting (rather than time-based vesting), which further aligns employee incentives to achieve company milestones and drive shareholder value.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0960"/>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Legal Proceedings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Our management is currently not aware of any legal matters that could have a material effect on our financial position, results of operations or cash flows.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MAN"/>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MANAGEMENT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Executive Officers and Directors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information regarding our executive officers and directors as of July 1, 2026.</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3370"/>
        <w:gridCol w:w="109"/>
        <w:gridCol w:w="109"/>
        <w:gridCol w:w="109"/>
        <w:gridCol w:w="109"/>
        <w:gridCol w:w="346"/>
        <w:gridCol w:w="109"/>
        <w:gridCol w:w="109"/>
        <w:gridCol w:w="109"/>
        <w:gridCol w:w="4178"/>
        <w:gridCol w:w="155"/>
      </w:tblGrid>
      <w:tr>
        <w:trPr/>
        <w:tc>
          <w:tcPr>
            <w:tcW w:w="3370"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178" w:type="dxa"/>
            <w:tcBorders>
              <w:bottom w:val="single" w:sz="2" w:space="0" w:color="000000"/>
            </w:tcBorders>
            <w:vAlign w:val="center"/>
          </w:tcPr>
          <w:p>
            <w:pPr>
              <w:pStyle w:val="TableContents"/>
              <w:bidi w:val="0"/>
              <w:spacing w:before="0" w:after="0"/>
              <w:jc w:val="left"/>
              <w:rPr>
                <w:spacing w:val="-2"/>
              </w:rPr>
            </w:pPr>
            <w:r>
              <w:rPr>
                <w:spacing w:val="-2"/>
              </w:rPr>
              <w:t xml:space="preserve">Position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70" w:type="dxa"/>
            <w:tcBorders/>
            <w:shd w:fill="CCEEFF" w:val="clear"/>
            <w:tcMar>
              <w:bottom w:w="0" w:type="dxa"/>
            </w:tcMar>
            <w:vAlign w:val="center"/>
          </w:tcPr>
          <w:p>
            <w:pPr>
              <w:pStyle w:val="TableContents"/>
              <w:bidi w:val="0"/>
              <w:spacing w:before="0" w:after="283"/>
              <w:jc w:val="left"/>
              <w:rPr/>
            </w:pPr>
            <w:r>
              <w:rPr>
                <w:spacing w:val="-2"/>
              </w:rPr>
              <w:t>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178"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70" w:type="dxa"/>
            <w:tcBorders/>
            <w:tcMar>
              <w:bottom w:w="0" w:type="dxa"/>
            </w:tcMar>
            <w:vAlign w:val="center"/>
          </w:tcPr>
          <w:p>
            <w:pPr>
              <w:pStyle w:val="TableContents"/>
              <w:bidi w:val="0"/>
              <w:spacing w:before="0" w:after="0"/>
              <w:jc w:val="left"/>
              <w:rPr>
                <w:spacing w:val="-2"/>
              </w:rPr>
            </w:pPr>
            <w:r>
              <w:rPr>
                <w:spacing w:val="-2"/>
              </w:rPr>
              <w:t xml:space="preserve">Andrew (Andy) Orth,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right"/>
              <w:rPr/>
            </w:pPr>
            <w:r>
              <w:rPr/>
              <w:t>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78" w:type="dxa"/>
            <w:tcBorders/>
            <w:tcMar>
              <w:bottom w:w="0" w:type="dxa"/>
            </w:tcMar>
            <w:vAlign w:val="center"/>
          </w:tcPr>
          <w:p>
            <w:pPr>
              <w:pStyle w:val="TableContents"/>
              <w:bidi w:val="0"/>
              <w:spacing w:before="0" w:after="0"/>
              <w:jc w:val="left"/>
              <w:rPr>
                <w:spacing w:val="-2"/>
              </w:rPr>
            </w:pPr>
            <w:r>
              <w:rPr>
                <w:spacing w:val="-2"/>
              </w:rPr>
              <w:t xml:space="preserve">President, Chief Executive Officer and Director </w:t>
            </w:r>
          </w:p>
        </w:tc>
        <w:tc>
          <w:tcPr>
            <w:tcW w:w="155" w:type="dxa"/>
            <w:tcBorders/>
            <w:tcMar>
              <w:bottom w:w="0" w:type="dxa"/>
            </w:tcMar>
            <w:vAlign w:val="center"/>
          </w:tcPr>
          <w:p>
            <w:pPr>
              <w:pStyle w:val="TableContents"/>
              <w:bidi w:val="0"/>
              <w:spacing w:before="0" w:after="283"/>
              <w:jc w:val="left"/>
              <w:rPr/>
            </w:pPr>
            <w:r>
              <w:rPr/>
              <w:t>​</w:t>
            </w:r>
          </w:p>
        </w:tc>
      </w:tr>
      <w:tr>
        <w:trPr/>
        <w:tc>
          <w:tcPr>
            <w:tcW w:w="3370" w:type="dxa"/>
            <w:tcBorders/>
            <w:shd w:fill="CCEEFF" w:val="clear"/>
            <w:tcMar>
              <w:bottom w:w="0" w:type="dxa"/>
            </w:tcMar>
            <w:vAlign w:val="center"/>
          </w:tcPr>
          <w:p>
            <w:pPr>
              <w:pStyle w:val="TableContents"/>
              <w:bidi w:val="0"/>
              <w:spacing w:before="0" w:after="0"/>
              <w:jc w:val="left"/>
              <w:rPr>
                <w:spacing w:val="-2"/>
              </w:rPr>
            </w:pPr>
            <w:r>
              <w:rPr>
                <w:spacing w:val="-2"/>
              </w:rPr>
              <w:t xml:space="preserve">Baisong Mei, M.D.,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178" w:type="dxa"/>
            <w:tcBorders/>
            <w:shd w:fill="CCEEFF" w:val="clear"/>
            <w:tcMar>
              <w:bottom w:w="0" w:type="dxa"/>
            </w:tcMar>
            <w:vAlign w:val="center"/>
          </w:tcPr>
          <w:p>
            <w:pPr>
              <w:pStyle w:val="TableContents"/>
              <w:bidi w:val="0"/>
              <w:spacing w:before="0" w:after="283"/>
              <w:jc w:val="left"/>
              <w:rPr>
                <w:spacing w:val="-2"/>
              </w:rPr>
            </w:pPr>
            <w:r>
              <w:rPr>
                <w:spacing w:val="-2"/>
              </w:rPr>
              <w:t xml:space="preserve">Chief Medical Officer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70" w:type="dxa"/>
            <w:tcBorders/>
            <w:tcMar>
              <w:bottom w:w="0" w:type="dxa"/>
            </w:tcMar>
            <w:vAlign w:val="center"/>
          </w:tcPr>
          <w:p>
            <w:pPr>
              <w:pStyle w:val="TableContents"/>
              <w:bidi w:val="0"/>
              <w:spacing w:before="0" w:after="0"/>
              <w:jc w:val="left"/>
              <w:rPr>
                <w:spacing w:val="-2"/>
              </w:rPr>
            </w:pPr>
            <w:r>
              <w:rPr>
                <w:spacing w:val="-2"/>
              </w:rPr>
              <w:t xml:space="preserve">Tracy Zimmermann,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right"/>
              <w:rPr/>
            </w:pPr>
            <w:r>
              <w:rPr/>
              <w:t>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78" w:type="dxa"/>
            <w:tcBorders/>
            <w:tcMar>
              <w:bottom w:w="0" w:type="dxa"/>
            </w:tcMar>
            <w:vAlign w:val="center"/>
          </w:tcPr>
          <w:p>
            <w:pPr>
              <w:pStyle w:val="TableContents"/>
              <w:bidi w:val="0"/>
              <w:spacing w:before="0" w:after="283"/>
              <w:jc w:val="left"/>
              <w:rPr>
                <w:spacing w:val="-2"/>
              </w:rPr>
            </w:pPr>
            <w:r>
              <w:rPr>
                <w:spacing w:val="-2"/>
              </w:rPr>
              <w:t xml:space="preserve">Chief Scientific Officer </w:t>
            </w:r>
          </w:p>
        </w:tc>
        <w:tc>
          <w:tcPr>
            <w:tcW w:w="155" w:type="dxa"/>
            <w:tcBorders/>
            <w:tcMar>
              <w:bottom w:w="0" w:type="dxa"/>
            </w:tcMar>
            <w:vAlign w:val="center"/>
          </w:tcPr>
          <w:p>
            <w:pPr>
              <w:pStyle w:val="TableContents"/>
              <w:bidi w:val="0"/>
              <w:spacing w:before="0" w:after="283"/>
              <w:jc w:val="left"/>
              <w:rPr/>
            </w:pPr>
            <w:r>
              <w:rPr/>
              <w:t>​</w:t>
            </w:r>
          </w:p>
        </w:tc>
      </w:tr>
      <w:tr>
        <w:trPr/>
        <w:tc>
          <w:tcPr>
            <w:tcW w:w="3370" w:type="dxa"/>
            <w:tcBorders/>
            <w:shd w:fill="CCEEFF" w:val="clear"/>
            <w:tcMar>
              <w:bottom w:w="0" w:type="dxa"/>
            </w:tcMar>
            <w:vAlign w:val="center"/>
          </w:tcPr>
          <w:p>
            <w:pPr>
              <w:pStyle w:val="TableContents"/>
              <w:bidi w:val="0"/>
              <w:spacing w:before="0" w:after="0"/>
              <w:jc w:val="left"/>
              <w:rPr>
                <w:spacing w:val="-2"/>
              </w:rPr>
            </w:pPr>
            <w:r>
              <w:rPr>
                <w:spacing w:val="-2"/>
              </w:rPr>
              <w:t xml:space="preserve">Sebastian Trousil,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178" w:type="dxa"/>
            <w:tcBorders/>
            <w:shd w:fill="CCEEFF" w:val="clear"/>
            <w:tcMar>
              <w:bottom w:w="0" w:type="dxa"/>
            </w:tcMar>
            <w:vAlign w:val="center"/>
          </w:tcPr>
          <w:p>
            <w:pPr>
              <w:pStyle w:val="TableContents"/>
              <w:bidi w:val="0"/>
              <w:spacing w:before="0" w:after="283"/>
              <w:jc w:val="left"/>
              <w:rPr>
                <w:spacing w:val="-2"/>
              </w:rPr>
            </w:pPr>
            <w:r>
              <w:rPr>
                <w:spacing w:val="-2"/>
              </w:rPr>
              <w:t xml:space="preserve">Chief Operating Officer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70" w:type="dxa"/>
            <w:tcBorders/>
            <w:tcMar>
              <w:bottom w:w="0" w:type="dxa"/>
            </w:tcMar>
            <w:vAlign w:val="center"/>
          </w:tcPr>
          <w:p>
            <w:pPr>
              <w:pStyle w:val="TableContents"/>
              <w:bidi w:val="0"/>
              <w:spacing w:before="0" w:after="283"/>
              <w:jc w:val="left"/>
              <w:rPr/>
            </w:pPr>
            <w:r>
              <w:rPr>
                <w:spacing w:val="-2"/>
              </w:rPr>
              <w:t>Non-Employee 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7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70" w:type="dxa"/>
            <w:tcBorders/>
            <w:shd w:fill="CCEEFF" w:val="clear"/>
            <w:tcMar>
              <w:bottom w:w="0" w:type="dxa"/>
            </w:tcMar>
            <w:vAlign w:val="center"/>
          </w:tcPr>
          <w:p>
            <w:pPr>
              <w:pStyle w:val="TableContents"/>
              <w:bidi w:val="0"/>
              <w:spacing w:before="0" w:after="0"/>
              <w:jc w:val="left"/>
              <w:rPr>
                <w:spacing w:val="-2"/>
              </w:rPr>
            </w:pPr>
            <w:r>
              <w:rPr>
                <w:spacing w:val="-2"/>
              </w:rPr>
              <w:t xml:space="preserve">John Maraganore,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178" w:type="dxa"/>
            <w:tcBorders/>
            <w:shd w:fill="CCEEFF" w:val="clear"/>
            <w:tcMar>
              <w:bottom w:w="0" w:type="dxa"/>
            </w:tcMar>
            <w:vAlign w:val="center"/>
          </w:tcPr>
          <w:p>
            <w:pPr>
              <w:pStyle w:val="TableContents"/>
              <w:bidi w:val="0"/>
              <w:spacing w:before="0" w:after="283"/>
              <w:jc w:val="left"/>
              <w:rPr>
                <w:spacing w:val="-2"/>
              </w:rPr>
            </w:pPr>
            <w:r>
              <w:rPr>
                <w:spacing w:val="-2"/>
              </w:rPr>
              <w:t xml:space="preserve">Executive Chair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70" w:type="dxa"/>
            <w:tcBorders/>
            <w:tcMar>
              <w:bottom w:w="0" w:type="dxa"/>
            </w:tcMar>
            <w:vAlign w:val="center"/>
          </w:tcPr>
          <w:p>
            <w:pPr>
              <w:pStyle w:val="TableContents"/>
              <w:bidi w:val="0"/>
              <w:spacing w:before="0" w:after="0"/>
              <w:jc w:val="left"/>
              <w:rPr>
                <w:spacing w:val="-2"/>
              </w:rPr>
            </w:pPr>
            <w:r>
              <w:rPr>
                <w:spacing w:val="-2"/>
              </w:rPr>
              <w:t xml:space="preserve">Barry Greene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right"/>
              <w:rPr/>
            </w:pPr>
            <w:r>
              <w:rPr/>
              <w:t>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78"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3370" w:type="dxa"/>
            <w:tcBorders/>
            <w:shd w:fill="CCEEFF" w:val="clear"/>
            <w:tcMar>
              <w:bottom w:w="0" w:type="dxa"/>
            </w:tcMar>
            <w:vAlign w:val="center"/>
          </w:tcPr>
          <w:p>
            <w:pPr>
              <w:pStyle w:val="TableContents"/>
              <w:bidi w:val="0"/>
              <w:spacing w:before="0" w:after="0"/>
              <w:jc w:val="left"/>
              <w:rPr>
                <w:spacing w:val="-2"/>
              </w:rPr>
            </w:pPr>
            <w:r>
              <w:rPr>
                <w:spacing w:val="-2"/>
              </w:rPr>
              <w:t xml:space="preserve">Robert Nelsen, M.B.A.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178" w:type="dxa"/>
            <w:tcBorders/>
            <w:shd w:fill="CCEEFF" w:val="clear"/>
            <w:tcMar>
              <w:bottom w:w="0" w:type="dxa"/>
            </w:tcMar>
            <w:vAlign w:val="center"/>
          </w:tcPr>
          <w:p>
            <w:pPr>
              <w:pStyle w:val="TableContents"/>
              <w:bidi w:val="0"/>
              <w:spacing w:before="0" w:after="283"/>
              <w:jc w:val="left"/>
              <w:rPr>
                <w:spacing w:val="-2"/>
              </w:rPr>
            </w:pPr>
            <w:r>
              <w:rPr>
                <w:spacing w:val="-2"/>
              </w:rPr>
              <w:t xml:space="preserve">Director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70" w:type="dxa"/>
            <w:tcBorders/>
            <w:tcMar>
              <w:bottom w:w="0" w:type="dxa"/>
            </w:tcMar>
            <w:vAlign w:val="center"/>
          </w:tcPr>
          <w:p>
            <w:pPr>
              <w:pStyle w:val="TableContents"/>
              <w:bidi w:val="0"/>
              <w:spacing w:before="0" w:after="0"/>
              <w:jc w:val="left"/>
              <w:rPr>
                <w:spacing w:val="-2"/>
              </w:rPr>
            </w:pPr>
            <w:r>
              <w:rPr>
                <w:spacing w:val="-2"/>
              </w:rPr>
              <w:t xml:space="preserve">Saraswathy (Sara) V. Nochur,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right"/>
              <w:rPr/>
            </w:pPr>
            <w:r>
              <w:rPr/>
              <w:t>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78"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3370" w:type="dxa"/>
            <w:tcBorders/>
            <w:shd w:fill="CCEEFF" w:val="clear"/>
            <w:tcMar>
              <w:bottom w:w="0" w:type="dxa"/>
            </w:tcMar>
            <w:vAlign w:val="center"/>
          </w:tcPr>
          <w:p>
            <w:pPr>
              <w:pStyle w:val="TableContents"/>
              <w:bidi w:val="0"/>
              <w:spacing w:before="0" w:after="0"/>
              <w:jc w:val="left"/>
              <w:rPr>
                <w:spacing w:val="-2"/>
              </w:rPr>
            </w:pPr>
            <w:r>
              <w:rPr>
                <w:spacing w:val="-2"/>
              </w:rPr>
              <w:t xml:space="preserve">Ron Philip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178" w:type="dxa"/>
            <w:tcBorders/>
            <w:shd w:fill="CCEEFF" w:val="clear"/>
            <w:tcMar>
              <w:bottom w:w="0" w:type="dxa"/>
            </w:tcMar>
            <w:vAlign w:val="center"/>
          </w:tcPr>
          <w:p>
            <w:pPr>
              <w:pStyle w:val="TableContents"/>
              <w:bidi w:val="0"/>
              <w:spacing w:before="0" w:after="283"/>
              <w:jc w:val="left"/>
              <w:rPr/>
            </w:pPr>
            <w:r>
              <w:rPr>
                <w:spacing w:val="-2"/>
              </w:rPr>
              <w:t>Director</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58"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Member of the compensation committee.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36830" distB="0" distL="0" distR="0" simplePos="0" locked="0" layoutInCell="1" allowOverlap="1" relativeHeight="441">
                <wp:simplePos x="0" y="0"/>
                <wp:positionH relativeFrom="column">
                  <wp:align>left</wp:align>
                </wp:positionH>
                <wp:positionV relativeFrom="line">
                  <wp:align>top</wp:align>
                </wp:positionV>
                <wp:extent cx="254000" cy="233680"/>
                <wp:effectExtent l="0" t="0" r="0" b="0"/>
                <wp:wrapSquare wrapText="right"/>
                <wp:docPr id="439" name="Frame41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8"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Member of the audit committee.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442">
                <wp:simplePos x="0" y="0"/>
                <wp:positionH relativeFrom="column">
                  <wp:align>left</wp:align>
                </wp:positionH>
                <wp:positionV relativeFrom="line">
                  <wp:align>top</wp:align>
                </wp:positionV>
                <wp:extent cx="254000" cy="233680"/>
                <wp:effectExtent l="0" t="0" r="0" b="0"/>
                <wp:wrapSquare wrapText="right"/>
                <wp:docPr id="440" name="Frame41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8"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Member of the nominating and corporate governance committee.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443">
                <wp:simplePos x="0" y="0"/>
                <wp:positionH relativeFrom="column">
                  <wp:align>left</wp:align>
                </wp:positionH>
                <wp:positionV relativeFrom="line">
                  <wp:align>top</wp:align>
                </wp:positionV>
                <wp:extent cx="254000" cy="233680"/>
                <wp:effectExtent l="0" t="0" r="0" b="0"/>
                <wp:wrapSquare wrapText="right"/>
                <wp:docPr id="441" name="Frame41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Executive Officers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Andrew (Andy) Orth, M.B.A.</w:t>
      </w:r>
      <w:r>
        <w:rPr>
          <w:rFonts w:ascii="Helvetica;Arial;sans-serif" w:hAnsi="Helvetica;Arial;sans-serif"/>
          <w:b w:val="false"/>
          <w:i w:val="false"/>
          <w:caps w:val="false"/>
          <w:smallCaps w:val="false"/>
          <w:color w:val="000000"/>
          <w:spacing w:val="-2"/>
          <w:sz w:val="20"/>
        </w:rPr>
        <w:t>, has served as our President, Chief Executive Officer and as a member of our board of directors since December 2024. Prior to joining us, Mr. Orth served as Chief Commercial Officer of Krystal Biotech, Inc. (Nasdaq: KRYS), a global, commercial-stage biotechnology company, from May 2021 to August 2023, where he led its global commercial strategy and execution. Previously, Mr. Orth served as Senior Vice President, U.S. Region at Alnylam (Nasdaq: ALNY), a global commercial-stage biopharmaceutical company, from 2016 to 2021, where he contributed to the launch of three genetic medicines for rare diseases and the build-out of Alnylam’s commercial infrastructure in the United States and Europe. Prior to Alnylam, Mr. Orth served as Vice President, Global Commercial Strategy at Biogen Inc. (Nasdaq: BIIB) from 2009 to 2016. Earlier in his career, Mr. Orth held positions in global commercial strategy, commercial operations, corporate strategy and finance at Russell Reynolds Associates Inc., Genzyme Corp. (subsequently acquired by Sanofi S.A. (Nasdaq: SNY) (“Sanofi”), Amgen Inc. (Nasdaq: AMGN) and the University of California, San Francisco. Mr. Orth received a B.S. in Philosophy and Psychology from the University of Wisconsin and an M.B.A. from Cornell University.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Mr. Orth is qualified to serve as a member of our board of directors because of his extensive executive leadership and commercial experience across the biopharmaceutical industry, including senior leadership roles at publicly traded biotechnology companies.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Baisong Mei, M.D., Ph.D.</w:t>
      </w:r>
      <w:r>
        <w:rPr>
          <w:rFonts w:ascii="Helvetica;Arial;sans-serif" w:hAnsi="Helvetica;Arial;sans-serif"/>
          <w:b w:val="false"/>
          <w:i w:val="false"/>
          <w:caps w:val="false"/>
          <w:smallCaps w:val="false"/>
          <w:color w:val="000000"/>
          <w:spacing w:val="-2"/>
          <w:sz w:val="20"/>
        </w:rPr>
        <w:t xml:space="preserve">, has served as our Chief Medical Officer since March 2025. Previously, Dr. Mei served as Executive Vice President and Chief Medical Officer at Editas Medicine, Inc. (Nasdaq: EDIT) (“Editas”), a gene editing company developing transformative medicines for serious diseases, from July 2022 to December 2025. Prior to Editas, Dr. Mei served as Senior Global Project Head in Rare Disease and Rare Blood Disorders at Sanofi, a global biopharmaceutical company, from January 2017 to July 2022. Before joining Sanofi, Dr. Mei served as Therapeutic Area Head for Hematology Clinical Development at Biogen Inc. Earlier in his career, Dr. Mei held roles in drug discovery research and chemistry, manufacturing and controls development at Biogen and Bayer AG. Dr. Mei received a Bachelor of Medicine from Bengbu Medical University, China, a Master of Medicine from Wuhan University School of Medicine, China, and a Ph.D. in Biochemistry and Molecular Biology 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University of Toledo, and held postdoctoral fellowships at the University of California San Francisco and the University of California Berkeley.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Tracy Zimmermann, Ph.D.</w:t>
      </w:r>
      <w:r>
        <w:rPr>
          <w:rFonts w:ascii="Helvetica;Arial;sans-serif" w:hAnsi="Helvetica;Arial;sans-serif"/>
          <w:b w:val="false"/>
          <w:i w:val="false"/>
          <w:caps w:val="false"/>
          <w:smallCaps w:val="false"/>
          <w:color w:val="000000"/>
          <w:spacing w:val="-2"/>
          <w:sz w:val="20"/>
        </w:rPr>
        <w:t>, has served as our Chief Scientific Officer since May 2024. Prior to joining us, Dr. Zimmermann served in roles of increasing responsibility at Generation Bio Co. (Nasdaq: GBIO) (acquired by XOMA Royalty Corporation (Nasdaq: XOMA)), a biotechnology company, most recently as Chief Development Officer from November 2020 to January 2024, after serving as Vice President, Preclinical Research and Translational Biology from October 2018 to November 2020. Previously, Dr. Zimmermann spent 15 years at Alnylam, serving in research leadership positions spanning RNAi platform development and early-stage therapeutic programs, where she contributed to the development of ONPATTRO, GIVLAARI and AMVUTTRA. Earlier in her career, Dr. Zimmermann served as a Senior Scientist at Variagenics, Inc. (subsequently merged with Hyseq Pharmaceuticals Inc., which was renamed Nuvelo, Inc.). Dr. Zimmermann received a B.S. in Biochemistry from Lehigh University and a Ph.D. in Chemistry from the University of Colorado Boulder and completed a postdoctoral fellowship at Harvard Medical School.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Sebastian Trousil, Ph.D.</w:t>
      </w:r>
      <w:r>
        <w:rPr>
          <w:rFonts w:ascii="Helvetica;Arial;sans-serif" w:hAnsi="Helvetica;Arial;sans-serif"/>
          <w:b w:val="false"/>
          <w:i w:val="false"/>
          <w:caps w:val="false"/>
          <w:smallCaps w:val="false"/>
          <w:color w:val="000000"/>
          <w:spacing w:val="-2"/>
          <w:sz w:val="20"/>
        </w:rPr>
        <w:t>, one of our co-founders, has served as our Chief Operating Officer since September 2023. Prior to joining us, Dr. Trousil served as Principal, New Ventures at RTW Investments, LP, an investment firm, from March 2021 to February 2023. During that time, Dr. Trousil also served as Chief Operating Officer of Yarrow Biotechnology, Inc., a biotechnology company, from January 2021 to February 2023. Dr. Trousil co-founded Harbinger Health, Inc., a liquid biopsy company focused on early cancer detection, and served in leadership roles during its early development. Earlier in his career, Dr. Trousil worked at Flagship Pioneering, a life sciences venture capital and company-building firm. Dr. Trousil received an M.Pharm. from the University of Vienna, Austria, and a Ph.D. in Pharmacology and Cancer Research from Imperial College London, England and completed postdoctoral research at Harvard Medical School and Massachusetts General Hospital, where he was awarded the Tosteson &amp; Fund for Medical Discovery Postdoctoral Fellowship.</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Non-Executive Directors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John Maraganore, Ph.D.</w:t>
      </w:r>
      <w:r>
        <w:rPr>
          <w:rFonts w:ascii="Helvetica;Arial;sans-serif" w:hAnsi="Helvetica;Arial;sans-serif"/>
          <w:b w:val="false"/>
          <w:i w:val="false"/>
          <w:caps w:val="false"/>
          <w:smallCaps w:val="false"/>
          <w:color w:val="000000"/>
          <w:spacing w:val="-2"/>
          <w:sz w:val="20"/>
        </w:rPr>
        <w:t>, one of our co-founders, has served as our Executive Chair and a member of our board of directors since September 2023. Dr. Maraganore has served as Principal of JMM Innovations, LLC, a strategic consulting firm, since January 2022, and as Co-Chief Executive Officer of Corsera Health, Inc., a privately held biotechnology company, since September 2024. He also currently serves as a Venture Partner at ARCH Venture Partners, a Venture Advisor at Atlas Venture, a Senior Advisor at Blackstone Life Sciences, a Senior Advisor at Jefferies Financial Services, and an Executive Partner at RTW Investments, LP, each an investment and venture capital firm. Previously, Dr. Maraganore served as founding Chief Executive Officer and as a member of the board of directors of Alnylam from December 2002 to December 2021, and as President of Alnylam from December 2002 to December 2007. Dr. Maraganore currently serves on the boards of directors of Kymera Therapeutics, Inc. (Nasdaq: KYMR), Beam Therapeutics Inc. (Nasdaq: BEAM) (“Beam Therapeutics”), Rapport Therapeutics, Inc. (Nasdaq: RAPP), Hemab Therapeutics Holdings, Inc. (Nasdaq: COAG) and Takeda Pharmaceutical Company Limited (NYSE: TAK). He previously served on the boards of directors of Agios Pharmaceuticals, Inc. (Nasdaq: AGIO) from June 2010 to May 2023 and ProKidney Corp. (Nasdaq: PROK) from August 2022 to May 2024. Dr. Maraganore received a B.A. in Biological Sciences and M.S. and Ph.D. degrees in Biochemistry and Molecular Biology, each from the University of Chicago.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Dr. Maraganore is qualified to serve as our Executive Chair and a member of our board of directors because of his extensive executive leadership experience in the biopharmaceutical industry, including his service as Chief Executive Officer of Alnylam and his service on the boards of directors of multiple publicly traded biopharmaceutical companies.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Barry Greene</w:t>
      </w:r>
      <w:r>
        <w:rPr>
          <w:rFonts w:ascii="Helvetica;Arial;sans-serif" w:hAnsi="Helvetica;Arial;sans-serif"/>
          <w:b w:val="false"/>
          <w:i w:val="false"/>
          <w:caps w:val="false"/>
          <w:smallCaps w:val="false"/>
          <w:color w:val="000000"/>
          <w:spacing w:val="-2"/>
          <w:sz w:val="20"/>
        </w:rPr>
        <w:t xml:space="preserve"> has served as a member of our board of directors since September 2024. Mr. Greene served as President and Chief Executive Officer of Sage Therapeutics, Inc. (Nasdaq: SAGE) (“Sage”), a biopharmaceutical company, from December 2020 until it was acquired by Supernus Pharmaceuticals, Inc. (Nasdaq: SUPN) in July 2025. Prior to joining Sage, Mr. Greene served as President of Alnylam from 2007 through September 2020 and as Chief Operating Officer from September 2003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December 2020. Prior to joining Alnylam, Mr. Greene served as General Manager of Oncology at Millennium Pharmaceuticals, Inc. Earlier in his career, Mr. Greene served as Executive Vice President and Chief Business Officer at Mediconsult.com, Inc., Vice President of Marketing and Customer Services and Vice President, Strategic Integration at AstraZeneca PLC (Nasdaq: AZN), and Partner at Andersen Consulting. Mr. Greene currently serves on the board of directors of Karyopharm Therapeutics, Inc. (Nasdaq: KPTI) and Dyne Therapeutics, Inc. (Nasdaq: DYN). He previously served on the boards of directors of Acorda Therapeutics, Inc. (Nasdaq: ACOR) from January 2007 to August 2021 and BCLS Acquisition Corporation (Nasdaq: BLSA) from October 2020 to October 2022. Mr. Greene received a B.S. in Industrial Engineering from the University of Pittsburgh and completed the Senior Scholars executive program at Duke University’s Medical School and Fuqua School of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Mr. Greene’s extensive operational and executive leadership experience across biopharmaceutical companies, including his tenure as a public company chief executive officer and his significant commercial and business development expertise, qualify him to serve as a member of our board of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Robert Nelsen, M.B.A.</w:t>
      </w:r>
      <w:r>
        <w:rPr>
          <w:rFonts w:ascii="Helvetica;Arial;sans-serif" w:hAnsi="Helvetica;Arial;sans-serif"/>
          <w:b w:val="false"/>
          <w:i w:val="false"/>
          <w:caps w:val="false"/>
          <w:smallCaps w:val="false"/>
          <w:color w:val="000000"/>
          <w:spacing w:val="-2"/>
          <w:sz w:val="20"/>
        </w:rPr>
        <w:t>, has served as a member of our board of directors since July 2023. Mr. Nelsen co-founded ARCH Venture Partners, a venture capital firm focused on early-stage technology companies, in 1986, and has served as a Managing Director of ARCH Venture Partners or its affiliated entities since 1994. Mr. Nelsen currently serves on the boards of directors of several publicly-traded biotechnology companies, including Prime Medicine, Inc. (Nasdaq: PRME), Sana Biotechnology, Inc. (Nasdaq: SANA), and Hua Medicine, Inc. (HKEX: 2552). Mr. Nelsen also currently serves on the boards of directors of a number of privately-held biotechnology companies and previously served on the boards of directors of several publicly-traded biotechnology and biopharmaceutical companies, including VIR Biotechnology, Inc. (Nasdaq: VIR) from 2017 to May 2025, Lyell Immunopharma, Inc. (Nasdaq: LYEL) from 2019 to May 2025, Seaport Therapeutics, Inc. (Nasdaq: SPTX) from 2024 to April 2026, Brii Biosciences Limited (HKEX: 2137) from 2019 to July 2024, Neumora Therapeutics, Inc. (Nasdaq: NMRA) from 2020 to September 2023, Revolution Healthcare Acquisition Corp. (Nasdaq: REVH) from 2021 to April 2022, Denali Therapeutics Inc. (Nasdaq: DNLI) from 2015 to June 2022, Beam Therapeutics  from 2017 to June 2021, and Karuna Therapeutics, Inc. (Nasdaq: KRTX) (subsequently acquired by Bristol Myers Squibb) from 2018 to June 2021. Mr. Nelsen received his B.S. from the University of Puget Sound in Economics and Biology and his M.B.A. from the University of Chicago.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Mr. Nelsen is qualified to serve on our board of directors because of his extensive experience as a venture capitalist, building and serving on the boards of many public and private emerging companies, including multiple life sciences, biotechnology and pharmaceutical companies.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Saraswathy (Sara) V. Nochur, Ph.D.</w:t>
      </w:r>
      <w:r>
        <w:rPr>
          <w:rFonts w:ascii="Helvetica;Arial;sans-serif" w:hAnsi="Helvetica;Arial;sans-serif"/>
          <w:b w:val="false"/>
          <w:i w:val="false"/>
          <w:caps w:val="false"/>
          <w:smallCaps w:val="false"/>
          <w:color w:val="000000"/>
          <w:spacing w:val="-2"/>
          <w:sz w:val="20"/>
        </w:rPr>
        <w:t>, has served as a member of our board of directors since February 2025. Dr. Nochur has served as an independent consultant in regulatory affairs and drug development since June 2024. Previously, Dr. Nochur served in roles of increasing responsibility at Alnylam, most recently as Chief Diversity, Equity and Inclusion Officer from January 2021 to May 2024. Prior to that, she oversaw global regulatory affairs at Alnylam as Vice President of Regulatory Affairs, Senior Vice President of Regulatory Affairs, and Chief Regulatory Officer from May 2005 to December 2020, and she also served as a member of Alnylam’s management board. Prior to joining Alnylam, Dr. Nochur served in roles of increasing responsibility in regulatory affairs at The Medicines Company, most recently as Vice President of Regulatory Affairs. Dr. Nochur previously served on the boards of directors of Decibel Therapeutics, Inc. (Nasdaq: DBTX) from December 2021 until its acquisition by Regeneron Pharmaceuticals, Inc. (Nasdaq: REGN) in September 2023 and Marinus Pharmaceuticals, Inc. (Nasdaq: MRNS) from March 2021 to November 2024. Dr. Nochur received a B.S. in Microbiology and Chemistry, an M.S. in Microbiology from the University of Bombay, India, and a Ph.D. in Biochemical Engineering from the Massachusetts Institute of Technology.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believe that Dr. Nochur is qualified to serve on our board of directors due to her extensive experience in drug development, regulatory strategy and the regulatory approval process.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caps w:val="false"/>
          <w:smallCaps w:val="false"/>
          <w:color w:val="000000"/>
          <w:spacing w:val="-2"/>
          <w:sz w:val="20"/>
        </w:rPr>
        <w:t>Ron Philip</w:t>
      </w:r>
      <w:r>
        <w:rPr>
          <w:rFonts w:ascii="Helvetica;Arial;sans-serif" w:hAnsi="Helvetica;Arial;sans-serif"/>
          <w:b w:val="false"/>
          <w:i w:val="false"/>
          <w:caps w:val="false"/>
          <w:smallCaps w:val="false"/>
          <w:color w:val="000000"/>
          <w:spacing w:val="-2"/>
          <w:sz w:val="20"/>
        </w:rPr>
        <w:t xml:space="preserve"> has served as a member of our board of directors since July 2024. Mr. Philip served as Chief Executive Officer and as a member of the board of directors of Orbital Therapeutics, Inc. (“Orbital”), a biopharmaceutical company focused on RNA-based medicines, from August 2024 until its acquisition by Bristol Myers Squibb (NYSE: BMY) in December 2025. Prior to joining Orbital, Mr. Philip served in roles of increasing responsibility at Spark Therapeutics, Inc. (formerly Nasdaq: ONCE) from May 2017 to August 2024, most recently as Chief Executive Officer. Prior to joining Spark Therapeutics, Mr. Philip served in various roles at Pfizer Inc. (NYSE: PFE) from November 2009 to October 2016. Mr. Philip currently serves on the board of directors of Harmony Biosciences Holdings, Inc. (Nasdaq: HRMY), Avalo Therapeutics, Inc. (Nasdaq: AVTX) and serves as Executive Chair of CREATE Medicines, Inc. Mr. Philip received a B.S. in Computer Information Systems from Drexel University.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Mr. Philip is qualified to serve on our board of directors because of his extensive experience in the life sciences industry, including leading teams focused on the development and commercialization of novel treatments, and his demonstrated business and strategic acumen.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Family Relationships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are no family relationships among any of our executive officers or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Composition of Our Board of Directors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business and affairs are managed under the direction of our board of directors, which currently consists of six members. The primary responsibilities of our board of directors are to provide oversight, strategic guidance, counseling and direction to our management. Our board of directors meets on a regular basis and additionally as required.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Certain members of our board of directors were elected under the provisions of our amended and restated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the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which will become effective immediately prior to the completion of this offering, and our amended and restated bylaws, which will become effective upon the effectiveness of the registration statement of which this prospectus forms a part, will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Staggered Board</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amended and restated certificate of incorporation, which will become effective immediately prior to the completion of this offering, and our amended and restated bylaws, which will be effective upon the effectiveness of the registration statement of which this prospectus forms a part, will permit our board of directors to establish the authorized number of directors from time to time by resolution. Each director serves until the expiration of the term for which such director was elected or appointed, or until such director’s earlier death, resignation or removal. In accordance with our amended and restated certificate of incorporation, our board of directors will be divided into three classes with staggered three-year terms. At each annual meeting of stockholders, the successors to directors whose terms then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expire will be elected to serve from the time of election and qualification until the third annual meeting following election. Our directors will be divided among the three classes as follows: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Class I directors will be             and            , and their terms will expire at our first annual meeting of stockholders following this offering, to be held in            ;</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44">
                <wp:simplePos x="0" y="0"/>
                <wp:positionH relativeFrom="column">
                  <wp:align>left</wp:align>
                </wp:positionH>
                <wp:positionV relativeFrom="line">
                  <wp:align>top</wp:align>
                </wp:positionV>
                <wp:extent cx="254000" cy="350520"/>
                <wp:effectExtent l="0" t="0" r="0" b="0"/>
                <wp:wrapSquare wrapText="right"/>
                <wp:docPr id="442" name="Frame4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Class II directors will be             and            , and their terms will expire at our second annual meeting of stockholders following this offering, to be held in            ;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45">
                <wp:simplePos x="0" y="0"/>
                <wp:positionH relativeFrom="column">
                  <wp:align>left</wp:align>
                </wp:positionH>
                <wp:positionV relativeFrom="line">
                  <wp:align>top</wp:align>
                </wp:positionV>
                <wp:extent cx="254000" cy="350520"/>
                <wp:effectExtent l="0" t="0" r="0" b="0"/>
                <wp:wrapSquare wrapText="right"/>
                <wp:docPr id="443" name="Frame4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Class III directors will be             and            , and their terms will expire at our third annual meeting of stockholders following this offering, to be held in            .</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46">
                <wp:simplePos x="0" y="0"/>
                <wp:positionH relativeFrom="column">
                  <wp:align>left</wp:align>
                </wp:positionH>
                <wp:positionV relativeFrom="line">
                  <wp:align>top</wp:align>
                </wp:positionV>
                <wp:extent cx="254000" cy="350520"/>
                <wp:effectExtent l="0" t="0" r="0" b="0"/>
                <wp:wrapSquare wrapText="right"/>
                <wp:docPr id="444" name="Frame4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classification of our board of directors may have the effect of delaying or preventing changes in control of our company.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Director Independence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listing standards, requirements and rules of The Nasdaq Stock Market LLC (the “Nasdaq Listing Rules”), independent directors must comprise a majority of our board of directors as a listed company within one year of the listing date.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Exchange Act, and compensation committee members must also satisfy the independence criteria set forth in Rule 10C-1 under the Exchange Act.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other than compensation for board service; or (ii) be an affiliated person of the listed company or any of its subsidiaries. In order to be considered independent for purposes of Rule 10C-1 under the Exchange Act,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board of directors has undertaken a review of the independence of each director. Based on information provided by each director concerning her or his background, employment, and affiliations, including family relationships, our board of directors has determined that          ,           and        do not have relationships that would interfere with the exercise of independent judgment in carrying out the responsibilities of a director and that each of these directors is “independent” as that term is defined under the Nasdaq Listing Rules. Our board of directors has determined that           ,           , and       are not independent under applicable rules and regulations of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w:t>
      </w:r>
      <w:r>
        <w:rPr>
          <w:rFonts w:ascii="Helvetica;Arial;sans-serif" w:hAnsi="Helvetica;Arial;sans-serif"/>
          <w:b w:val="false"/>
          <w:i/>
          <w:caps w:val="false"/>
          <w:smallCaps w:val="false"/>
          <w:color w:val="000000"/>
          <w:spacing w:val="-2"/>
          <w:sz w:val="20"/>
        </w:rPr>
        <w:t>Certain Relationships and Related Person Transactions</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Board Policies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connection with this offering, we intend to adopt policies and procedures for director candidates for our nominating and corporate governance committee, which will provide that factors, such as a candidate’s character, judgment, skills, education, expertise, and absence of conflicts of interest should be considered in determining director candidates. Our priority in selection of board members will be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Board Leadership Structure and Board’s Role in Risk Oversight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Currently, the role of executive chair of our board of directors is separated from the role of Chief Executive Officer. We believe that separating these positions allows our Chief Executive Officer to focus on our day-to-day business, while allowing the executive chair of our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 of our board of directors, particularly as the board of directors’ oversight responsibilities continue to grow. While our amended and restated bylaws and corporate governance guidelines will not require that our board chair and chief executive officer positions be separate, our board of directors believes that having separate positions is the appropriate leadership structure for us at this time and demonstrates our commitment to good corporate governance. Our board of directors will adopt, effective prior to the completion of this offering, corporate governance guidelines that will provide that the board of directors may appoint a lead independent director. The lead independent director will be responsible for calling and presiding over separate meetings of the independent directors. The lead independent director will preside over periodic meetings of independent directors, serve as a liaison between the chair and the independent directors and perform such additional duties as the board of directors may otherwise determine and delegate.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in the section titled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Committees of Our Board of Directors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board of directors will establish upon the completion of this offering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will operate under a written charter that satisfies the applicable rules and regulation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the SEC and the Nasdaq Listing Rules, which we will post to our website at </w:t>
      </w:r>
      <w:r>
        <w:rPr>
          <w:rFonts w:ascii="Helvetica;Arial;sans-serif" w:hAnsi="Helvetica;Arial;sans-serif"/>
          <w:b w:val="false"/>
          <w:i/>
          <w:caps w:val="false"/>
          <w:smallCaps w:val="false"/>
          <w:color w:val="000000"/>
          <w:spacing w:val="-2"/>
          <w:sz w:val="20"/>
        </w:rPr>
        <w:t>www.citytx.com</w:t>
      </w:r>
      <w:r>
        <w:rPr>
          <w:rFonts w:ascii="Helvetica;Arial;sans-serif" w:hAnsi="Helvetica;Arial;sans-serif"/>
          <w:b w:val="false"/>
          <w:i w:val="false"/>
          <w:caps w:val="false"/>
          <w:smallCaps w:val="false"/>
          <w:color w:val="000000"/>
          <w:spacing w:val="-2"/>
          <w:sz w:val="20"/>
        </w:rPr>
        <w:t xml:space="preserve"> upon the completion of this offering. Information contained on, or accessible through, our website is not a part of this prospectus, and the inclusion of our website address in this prospectus is only an inactive textual reference. Our board of directors may establish other committees as it deems necessary or appropriate from time to time.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Audit Committee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this offering, our audit committee will consist of          ,           and          , and the chair of our audit committee will be          . Our board of directors has determined that each member of the audit committee is independent under Nasdaq Listing Rules and Rule 10A-3(b)(1) of the Exchange Act and can read and understand fundamental financial statements in accordance with applicable requirements. Our board of directors has also determined that           is an “audit committee financial expert” within the meaning of SEC regulations. In arriving at these determinations, our board of directors has examined each audit committee member’s scope of experience and the nature of their employment in the corporate finance sector.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primary purpose of the audit committee will be to discharge the responsibilities of our board of directors with respect to our corporate accounting and financial reporting processes, systems of internal control and financial-statement audits, and to oversee our independent registered public accounting firm. Specific responsibilities of our audit committee will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helping our board of directors oversee our corporate accounting and financial reporting processes;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47">
                <wp:simplePos x="0" y="0"/>
                <wp:positionH relativeFrom="column">
                  <wp:align>left</wp:align>
                </wp:positionH>
                <wp:positionV relativeFrom="line">
                  <wp:align>top</wp:align>
                </wp:positionV>
                <wp:extent cx="254000" cy="350520"/>
                <wp:effectExtent l="0" t="0" r="0" b="0"/>
                <wp:wrapSquare wrapText="right"/>
                <wp:docPr id="445" name="Frame4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coordinating the oversight and reviewing the adequacy of our internal control over financial reporting;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48">
                <wp:simplePos x="0" y="0"/>
                <wp:positionH relativeFrom="column">
                  <wp:align>left</wp:align>
                </wp:positionH>
                <wp:positionV relativeFrom="line">
                  <wp:align>top</wp:align>
                </wp:positionV>
                <wp:extent cx="254000" cy="350520"/>
                <wp:effectExtent l="0" t="0" r="0" b="0"/>
                <wp:wrapSquare wrapText="right"/>
                <wp:docPr id="446" name="Frame4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managing the selection, engagement, qualifications, independence, and performance of a qualified firm to serve as the independent registered public accounting firm to audit our financial statements;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49">
                <wp:simplePos x="0" y="0"/>
                <wp:positionH relativeFrom="column">
                  <wp:align>left</wp:align>
                </wp:positionH>
                <wp:positionV relativeFrom="line">
                  <wp:align>top</wp:align>
                </wp:positionV>
                <wp:extent cx="254000" cy="350520"/>
                <wp:effectExtent l="0" t="0" r="0" b="0"/>
                <wp:wrapSquare wrapText="right"/>
                <wp:docPr id="447" name="Frame4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discussing the scope and results of the audit with the independent registered public accounting firm, and reviewing, with management and the independent accountants, our interim and year-end operating results;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50">
                <wp:simplePos x="0" y="0"/>
                <wp:positionH relativeFrom="column">
                  <wp:align>left</wp:align>
                </wp:positionH>
                <wp:positionV relativeFrom="line">
                  <wp:align>top</wp:align>
                </wp:positionV>
                <wp:extent cx="254000" cy="350520"/>
                <wp:effectExtent l="0" t="0" r="0" b="0"/>
                <wp:wrapSquare wrapText="right"/>
                <wp:docPr id="448" name="Frame4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developing procedures for employees to submit concerns anonymously about questionable accounting or audit matters;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51">
                <wp:simplePos x="0" y="0"/>
                <wp:positionH relativeFrom="column">
                  <wp:align>left</wp:align>
                </wp:positionH>
                <wp:positionV relativeFrom="line">
                  <wp:align>top</wp:align>
                </wp:positionV>
                <wp:extent cx="254000" cy="350520"/>
                <wp:effectExtent l="0" t="0" r="0" b="0"/>
                <wp:wrapSquare wrapText="right"/>
                <wp:docPr id="449" name="Frame4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related person transactions;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52">
                <wp:simplePos x="0" y="0"/>
                <wp:positionH relativeFrom="column">
                  <wp:align>left</wp:align>
                </wp:positionH>
                <wp:positionV relativeFrom="line">
                  <wp:align>top</wp:align>
                </wp:positionV>
                <wp:extent cx="254000" cy="350520"/>
                <wp:effectExtent l="0" t="0" r="0" b="0"/>
                <wp:wrapSquare wrapText="right"/>
                <wp:docPr id="450" name="Frame4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establishing insurance coverage for our officers and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53">
                <wp:simplePos x="0" y="0"/>
                <wp:positionH relativeFrom="column">
                  <wp:align>left</wp:align>
                </wp:positionH>
                <wp:positionV relativeFrom="line">
                  <wp:align>top</wp:align>
                </wp:positionV>
                <wp:extent cx="254000" cy="350520"/>
                <wp:effectExtent l="0" t="0" r="0" b="0"/>
                <wp:wrapSquare wrapText="right"/>
                <wp:docPr id="451" name="Frame4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overseeing the preparation of our annual proxy statement, reviewing with management our financial statements to be included in our quarterly reports to be filed with the SEC, and reviewing with management the “</w:t>
      </w:r>
      <w:r>
        <w:rPr>
          <w:rFonts w:ascii="Helvetica;Arial;sans-serif" w:hAnsi="Helvetica;Arial;sans-serif"/>
          <w:b w:val="false"/>
          <w:i/>
          <w:caps w:val="false"/>
          <w:smallCaps w:val="false"/>
          <w:color w:val="000000"/>
          <w:spacing w:val="-2"/>
          <w:sz w:val="20"/>
        </w:rPr>
        <w:t>Risk Factors</w:t>
      </w:r>
      <w:r>
        <w:rPr>
          <w:rFonts w:ascii="Helvetica;Arial;sans-serif" w:hAnsi="Helvetica;Arial;sans-serif"/>
          <w:b w:val="false"/>
          <w:i w:val="false"/>
          <w:caps w:val="false"/>
          <w:smallCaps w:val="false"/>
          <w:color w:val="000000"/>
          <w:spacing w:val="-2"/>
          <w:sz w:val="20"/>
        </w:rPr>
        <w:t>” and “</w:t>
      </w:r>
      <w:r>
        <w:rPr>
          <w:rFonts w:ascii="Helvetica;Arial;sans-serif" w:hAnsi="Helvetica;Arial;sans-serif"/>
          <w:b w:val="false"/>
          <w:i/>
          <w:caps w:val="false"/>
          <w:smallCaps w:val="false"/>
          <w:color w:val="000000"/>
          <w:spacing w:val="-2"/>
          <w:sz w:val="20"/>
        </w:rPr>
        <w:t>Management’s Discussion and Analysis of Financial Condition and Results of Operations</w:t>
      </w:r>
      <w:r>
        <w:rPr>
          <w:rFonts w:ascii="Helvetica;Arial;sans-serif" w:hAnsi="Helvetica;Arial;sans-serif"/>
          <w:b w:val="false"/>
          <w:i w:val="false"/>
          <w:caps w:val="false"/>
          <w:smallCaps w:val="false"/>
          <w:color w:val="000000"/>
          <w:spacing w:val="-2"/>
          <w:sz w:val="20"/>
        </w:rPr>
        <w:t>” disclosures in our periodic reports filed with the SEC;</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54">
                <wp:simplePos x="0" y="0"/>
                <wp:positionH relativeFrom="column">
                  <wp:align>left</wp:align>
                </wp:positionH>
                <wp:positionV relativeFrom="line">
                  <wp:align>top</wp:align>
                </wp:positionV>
                <wp:extent cx="254000" cy="350520"/>
                <wp:effectExtent l="0" t="0" r="0" b="0"/>
                <wp:wrapSquare wrapText="right"/>
                <wp:docPr id="452" name="Frame4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overseeing our risk management policies, procedures and practices, including those related to cybersecurity;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55">
                <wp:simplePos x="0" y="0"/>
                <wp:positionH relativeFrom="column">
                  <wp:align>left</wp:align>
                </wp:positionH>
                <wp:positionV relativeFrom="line">
                  <wp:align>top</wp:align>
                </wp:positionV>
                <wp:extent cx="254000" cy="350520"/>
                <wp:effectExtent l="0" t="0" r="0" b="0"/>
                <wp:wrapSquare wrapText="right"/>
                <wp:docPr id="453" name="Frame4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approving, or, as permitted, pre-approving, audit and permissible non-audit services to be performed by the independent registered public accounting firm.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56">
                <wp:simplePos x="0" y="0"/>
                <wp:positionH relativeFrom="column">
                  <wp:align>left</wp:align>
                </wp:positionH>
                <wp:positionV relativeFrom="line">
                  <wp:align>top</wp:align>
                </wp:positionV>
                <wp:extent cx="254000" cy="350520"/>
                <wp:effectExtent l="0" t="0" r="0" b="0"/>
                <wp:wrapSquare wrapText="right"/>
                <wp:docPr id="454" name="Frame4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audit committee will operate under a written charter, which will be effective upon the completion of this offering, that satisfies the applicable Nasdaq Listing Rules.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Compensation Committee</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Upon the completion of this offering, our compensation committee will consist of       ,        and        , and the chair of our compensation committee will be         . Our board of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has determined that each member of the compensation committee is independent under the Nasdaq Listing Rules and is a “non-employee director” as defined in Rule 16b-3 promulgated under the Exchange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primary purpose of our compensation committee will be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will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annually reviewing and recommending to our board of directors the corporate goals and objectives relevant to the compensation of our Chief Executive Officer;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57">
                <wp:simplePos x="0" y="0"/>
                <wp:positionH relativeFrom="column">
                  <wp:align>left</wp:align>
                </wp:positionH>
                <wp:positionV relativeFrom="line">
                  <wp:align>top</wp:align>
                </wp:positionV>
                <wp:extent cx="254000" cy="350520"/>
                <wp:effectExtent l="0" t="0" r="0" b="0"/>
                <wp:wrapSquare wrapText="right"/>
                <wp:docPr id="455" name="Frame4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evaluating the performance of our Chief Executive Officer in light of such corporate goals and objectives and, based on such evaluation, recommending to our board of directors the cash compensation of our Chief Executive Officer;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58">
                <wp:simplePos x="0" y="0"/>
                <wp:positionH relativeFrom="column">
                  <wp:align>left</wp:align>
                </wp:positionH>
                <wp:positionV relativeFrom="line">
                  <wp:align>top</wp:align>
                </wp:positionV>
                <wp:extent cx="254000" cy="350520"/>
                <wp:effectExtent l="0" t="0" r="0" b="0"/>
                <wp:wrapSquare wrapText="right"/>
                <wp:docPr id="456" name="Frame4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and approving the compensation arrangements with our other executive officers and certain other senior management;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59">
                <wp:simplePos x="0" y="0"/>
                <wp:positionH relativeFrom="column">
                  <wp:align>left</wp:align>
                </wp:positionH>
                <wp:positionV relativeFrom="line">
                  <wp:align>top</wp:align>
                </wp:positionV>
                <wp:extent cx="254000" cy="350520"/>
                <wp:effectExtent l="0" t="0" r="0" b="0"/>
                <wp:wrapSquare wrapText="right"/>
                <wp:docPr id="457" name="Frame4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and recommending to our board of directors the compensation paid to our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60">
                <wp:simplePos x="0" y="0"/>
                <wp:positionH relativeFrom="column">
                  <wp:align>left</wp:align>
                </wp:positionH>
                <wp:positionV relativeFrom="line">
                  <wp:align>top</wp:align>
                </wp:positionV>
                <wp:extent cx="254000" cy="350520"/>
                <wp:effectExtent l="0" t="0" r="0" b="0"/>
                <wp:wrapSquare wrapText="right"/>
                <wp:docPr id="458" name="Frame4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administering our equity incentive plans and other benefit programs;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61">
                <wp:simplePos x="0" y="0"/>
                <wp:positionH relativeFrom="column">
                  <wp:align>left</wp:align>
                </wp:positionH>
                <wp:positionV relativeFrom="line">
                  <wp:align>top</wp:align>
                </wp:positionV>
                <wp:extent cx="254000" cy="350520"/>
                <wp:effectExtent l="0" t="0" r="0" b="0"/>
                <wp:wrapSquare wrapText="right"/>
                <wp:docPr id="459" name="Frame4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overseeing and administering our compensation and similar plans;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62">
                <wp:simplePos x="0" y="0"/>
                <wp:positionH relativeFrom="column">
                  <wp:align>left</wp:align>
                </wp:positionH>
                <wp:positionV relativeFrom="line">
                  <wp:align>top</wp:align>
                </wp:positionV>
                <wp:extent cx="254000" cy="350520"/>
                <wp:effectExtent l="0" t="0" r="0" b="0"/>
                <wp:wrapSquare wrapText="right"/>
                <wp:docPr id="460" name="Frame4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and establishing general policies relating to compensation and benefits of our employees, including our overall compensation philosophy.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63">
                <wp:simplePos x="0" y="0"/>
                <wp:positionH relativeFrom="column">
                  <wp:align>left</wp:align>
                </wp:positionH>
                <wp:positionV relativeFrom="line">
                  <wp:align>top</wp:align>
                </wp:positionV>
                <wp:extent cx="254000" cy="350520"/>
                <wp:effectExtent l="0" t="0" r="0" b="0"/>
                <wp:wrapSquare wrapText="right"/>
                <wp:docPr id="461" name="Frame4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compensation committee will operate under a written charter, which will be effective upon the completion of this offering, that satisfies the applicable Nasdaq Listing Rules.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Nominating and Corporate Governance Committee</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this offering, our nominating and corporate governance committee will consist of         ,         and         , and the chair of our nominating and corporate governance committee will be         . Our board of directors has determined that each member of the nominating and corporate governance committee is independent under the Nasdaq Listing Rules, a non-employee director, and free from any relationship that would interfere with the exercise of his or her independent judgment.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primary purpose of the nominating and corporate governance committee is to discharge the responsibilities of our board of directors with respect to our corporate governance functions and to identify, communicate with, evaluate and recommend candidates for our board of directors. Specific responsibilities of our nominating and corporate governance committee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identifying and evaluating candidates, including the nomination of incumbent directors for reelection and nominees recommended by stockholders, to serve on our board of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64">
                <wp:simplePos x="0" y="0"/>
                <wp:positionH relativeFrom="column">
                  <wp:align>left</wp:align>
                </wp:positionH>
                <wp:positionV relativeFrom="line">
                  <wp:align>top</wp:align>
                </wp:positionV>
                <wp:extent cx="254000" cy="350520"/>
                <wp:effectExtent l="0" t="0" r="0" b="0"/>
                <wp:wrapSquare wrapText="right"/>
                <wp:docPr id="462" name="Frame4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considering and making recommendations to our board of directors regarding the composition and chairmanship of the committees of our board of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65">
                <wp:simplePos x="0" y="0"/>
                <wp:positionH relativeFrom="column">
                  <wp:align>left</wp:align>
                </wp:positionH>
                <wp:positionV relativeFrom="line">
                  <wp:align>top</wp:align>
                </wp:positionV>
                <wp:extent cx="254000" cy="350520"/>
                <wp:effectExtent l="0" t="0" r="0" b="0"/>
                <wp:wrapSquare wrapText="right"/>
                <wp:docPr id="463" name="Frame4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instituting plans or programs for the continuing education of our board of directors and orientation of new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66">
                <wp:simplePos x="0" y="0"/>
                <wp:positionH relativeFrom="column">
                  <wp:align>left</wp:align>
                </wp:positionH>
                <wp:positionV relativeFrom="line">
                  <wp:align>top</wp:align>
                </wp:positionV>
                <wp:extent cx="254000" cy="350520"/>
                <wp:effectExtent l="0" t="0" r="0" b="0"/>
                <wp:wrapSquare wrapText="right"/>
                <wp:docPr id="464" name="Frame4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developing and making recommendations to our board of directors regarding corporate governance guidelines and matters;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67">
                <wp:simplePos x="0" y="0"/>
                <wp:positionH relativeFrom="column">
                  <wp:align>left</wp:align>
                </wp:positionH>
                <wp:positionV relativeFrom="line">
                  <wp:align>top</wp:align>
                </wp:positionV>
                <wp:extent cx="254000" cy="350520"/>
                <wp:effectExtent l="0" t="0" r="0" b="0"/>
                <wp:wrapSquare wrapText="right"/>
                <wp:docPr id="465" name="Frame4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overseeing periodic evaluations of the board of directors’ performance, including committees of the board of directors and management.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468">
                <wp:simplePos x="0" y="0"/>
                <wp:positionH relativeFrom="column">
                  <wp:align>left</wp:align>
                </wp:positionH>
                <wp:positionV relativeFrom="line">
                  <wp:align>top</wp:align>
                </wp:positionV>
                <wp:extent cx="254000" cy="350520"/>
                <wp:effectExtent l="0" t="0" r="0" b="0"/>
                <wp:wrapSquare wrapText="right"/>
                <wp:docPr id="466" name="Frame4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nominating and corporate governance committee will operate under a written charter, which will be effective upon the completion of this offering, that satisfies the applicable Nasdaq Listing Rules.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Code of Business Conduct and Ethics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connection with this offering, we intend to adopt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t>
      </w:r>
      <w:r>
        <w:rPr>
          <w:rFonts w:ascii="Helvetica;Arial;sans-serif" w:hAnsi="Helvetica;Arial;sans-serif"/>
          <w:b w:val="false"/>
          <w:i/>
          <w:caps w:val="false"/>
          <w:smallCaps w:val="false"/>
          <w:color w:val="000000"/>
          <w:spacing w:val="-2"/>
          <w:sz w:val="20"/>
        </w:rPr>
        <w:t>www.citytx.com</w:t>
      </w:r>
      <w:r>
        <w:rPr>
          <w:rFonts w:ascii="Helvetica;Arial;sans-serif" w:hAnsi="Helvetica;Arial;sans-serif"/>
          <w:b w:val="false"/>
          <w:i w:val="false"/>
          <w:caps w:val="false"/>
          <w:smallCaps w:val="false"/>
          <w:color w:val="000000"/>
          <w:spacing w:val="-2"/>
          <w:sz w:val="20"/>
        </w:rPr>
        <w:t>.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Compensation Committee Interlocks and Insider Participation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None of the members of the compensation committee is currently, or has been at any time, one of our officers or employees. None of our officers currently serves, or has served during the last calendar year, as a member of the board of directors or compensation committee of any entity that has one or more executive officers serving as a member of our board of directors or compensation committee.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Compensation Recovery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accordance with the requirements of the SEC and Nasdaq Listing Rules, our board of directors intends to adopt a compensation recovery policy, which will become effective upon the date on which the registration statement of which this prospectus is part is declared effective by the SEC. The compensation recovery policy will provide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Limitations on Liability and Indemnification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permitted by Delaware law, provisions in our amended and restated certificate of incorporation, which will become effective immediately prior to the completion of this offering, and our amended and restated bylaws, which will be effective upon the effectiveness of the registration statement of which this prospectus forms a part, limit or eliminate the personal liability of directors and officers for a breach of their fiduciary duty of care as a director or officer. The duty of care generally requires that, when acting on behalf of the corporation, a director or officer exercise an informed business judgment based on all material information reasonably available to him or her. Consequently, a director or officer will not be personally liable to us or our stockholders for monetary damages or breach of fiduciary duty as a director or officer, except for liability for: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breach of the officer or director’s duty of loyalty to us or our stockholders;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69">
                <wp:simplePos x="0" y="0"/>
                <wp:positionH relativeFrom="column">
                  <wp:align>left</wp:align>
                </wp:positionH>
                <wp:positionV relativeFrom="line">
                  <wp:align>top</wp:align>
                </wp:positionV>
                <wp:extent cx="254000" cy="350520"/>
                <wp:effectExtent l="0" t="0" r="0" b="0"/>
                <wp:wrapSquare wrapText="right"/>
                <wp:docPr id="467" name="Frame4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act or omission not in good faith or that involves intentional misconduct or a knowing violation of law;</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70">
                <wp:simplePos x="0" y="0"/>
                <wp:positionH relativeFrom="column">
                  <wp:align>left</wp:align>
                </wp:positionH>
                <wp:positionV relativeFrom="line">
                  <wp:align>top</wp:align>
                </wp:positionV>
                <wp:extent cx="254000" cy="350520"/>
                <wp:effectExtent l="0" t="0" r="0" b="0"/>
                <wp:wrapSquare wrapText="right"/>
                <wp:docPr id="468" name="Frame4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our directors, unlawful payments of dividends or unlawful stock repurchases, or redemptions as provided in Section 174 of the DGCL;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71">
                <wp:simplePos x="0" y="0"/>
                <wp:positionH relativeFrom="column">
                  <wp:align>left</wp:align>
                </wp:positionH>
                <wp:positionV relativeFrom="line">
                  <wp:align>top</wp:align>
                </wp:positionV>
                <wp:extent cx="254000" cy="350520"/>
                <wp:effectExtent l="0" t="0" r="0" b="0"/>
                <wp:wrapSquare wrapText="right"/>
                <wp:docPr id="469" name="Frame4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our officers, any derivative action by or in the right of the corporation;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72">
                <wp:simplePos x="0" y="0"/>
                <wp:positionH relativeFrom="column">
                  <wp:align>left</wp:align>
                </wp:positionH>
                <wp:positionV relativeFrom="line">
                  <wp:align>top</wp:align>
                </wp:positionV>
                <wp:extent cx="254000" cy="350520"/>
                <wp:effectExtent l="0" t="0" r="0" b="0"/>
                <wp:wrapSquare wrapText="right"/>
                <wp:docPr id="470" name="Frame4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act related to unlawful stock repurchases, redemptions or other distributions or payments of dividends;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73">
                <wp:simplePos x="0" y="0"/>
                <wp:positionH relativeFrom="column">
                  <wp:align>left</wp:align>
                </wp:positionH>
                <wp:positionV relativeFrom="line">
                  <wp:align>top</wp:align>
                </wp:positionV>
                <wp:extent cx="254000" cy="350520"/>
                <wp:effectExtent l="0" t="0" r="0" b="0"/>
                <wp:wrapSquare wrapText="right"/>
                <wp:docPr id="471" name="Frame4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transaction from which the director or officer derived an improper personal benefit.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74">
                <wp:simplePos x="0" y="0"/>
                <wp:positionH relativeFrom="column">
                  <wp:align>left</wp:align>
                </wp:positionH>
                <wp:positionV relativeFrom="line">
                  <wp:align>top</wp:align>
                </wp:positionV>
                <wp:extent cx="254000" cy="350520"/>
                <wp:effectExtent l="0" t="0" r="0" b="0"/>
                <wp:wrapSquare wrapText="right"/>
                <wp:docPr id="472" name="Frame4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400"/>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limitations of liability do not limit or eliminate our rights or any stockholder’s rights to seek non-monetary relief, such as injunctive relief or rescission. These provisions will not alter a director or officer’s liability under other laws, such as the federal securities laws or other state or federal laws. Our amended and restated certificate of incorporation that will become effective upon the completion of this offering also will authorize us to indemnify our officers, directors, and other agents to the fullest extent permitted under Delaware law.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permitted by Delaware law, our amended and restated bylaws, which will be effective upon effectiveness of the registration statement of which this prospectus forms a part, will provide that: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indemnify our directors, officers, employees and other agents to the fullest extent permitted by law;</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75">
                <wp:simplePos x="0" y="0"/>
                <wp:positionH relativeFrom="column">
                  <wp:align>left</wp:align>
                </wp:positionH>
                <wp:positionV relativeFrom="line">
                  <wp:align>top</wp:align>
                </wp:positionV>
                <wp:extent cx="254000" cy="350520"/>
                <wp:effectExtent l="0" t="0" r="0" b="0"/>
                <wp:wrapSquare wrapText="right"/>
                <wp:docPr id="473" name="Frame4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must advance expenses to our directors and officers, and may advance expenses to our employees and other agents, in connection with a legal proceeding to the fullest extent permitted by law;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76">
                <wp:simplePos x="0" y="0"/>
                <wp:positionH relativeFrom="column">
                  <wp:align>left</wp:align>
                </wp:positionH>
                <wp:positionV relativeFrom="line">
                  <wp:align>top</wp:align>
                </wp:positionV>
                <wp:extent cx="254000" cy="350520"/>
                <wp:effectExtent l="0" t="0" r="0" b="0"/>
                <wp:wrapSquare wrapText="right"/>
                <wp:docPr id="474" name="Frame4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rights provided in our amended and restated bylaws are not exclusive.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77">
                <wp:simplePos x="0" y="0"/>
                <wp:positionH relativeFrom="column">
                  <wp:align>left</wp:align>
                </wp:positionH>
                <wp:positionV relativeFrom="line">
                  <wp:align>top</wp:align>
                </wp:positionV>
                <wp:extent cx="254000" cy="350520"/>
                <wp:effectExtent l="0" t="0" r="0" b="0"/>
                <wp:wrapSquare wrapText="right"/>
                <wp:docPr id="475" name="Frame4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amended and restated bylaws permit such indemnification. We intend to obtain such insurance.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the indemnification that will be provided for in our amended and restated certificate of incorporation and amended and restated bylaws, we plan to enter into separate indemnification agreements with each of our directors and executive officers, which may be broader than the specific indemnification provisions contained in the DGCL.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There is no pending litigation or proceeding naming any of our directors or officers as to which indemnification is being sought, nor are we aware of any pending or threatened litigation that may result in claims for indemnification by any director or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760"/>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Rule 10b5-1 Sales Plans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plans would be prohibited by the lock-up agreement that the director or officer has entered into with the underwriters.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EXCO"/>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EXECUTIVE COMPENSATION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the programs as summarized in this discussion.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an emerging growth company and a smaller reporting company, we have opted to comply with the executive compensation disclosure rules applicable to “emerging growth companies” and “smaller reporting companies,” as such terms are defined in the rules promulgated under the Securities Act. The compensation provided to our named executive officers for the fiscal year ended December 31, 2025 (“Fiscal Year 2025”) is detailed in the 2025 Summary Compensation Table and accompanying footnotes and narrative that follow.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named executive officers for Fiscal Year 2025 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Andrew (Andy) Orth, M.B.A., our President and Chief Executive Officer;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78">
                <wp:simplePos x="0" y="0"/>
                <wp:positionH relativeFrom="column">
                  <wp:align>left</wp:align>
                </wp:positionH>
                <wp:positionV relativeFrom="line">
                  <wp:align>top</wp:align>
                </wp:positionV>
                <wp:extent cx="254000" cy="350520"/>
                <wp:effectExtent l="0" t="0" r="0" b="0"/>
                <wp:wrapSquare wrapText="right"/>
                <wp:docPr id="476" name="Frame4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Baisong Mei, M.D., Ph.D., our Chief Medical Officer;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79">
                <wp:simplePos x="0" y="0"/>
                <wp:positionH relativeFrom="column">
                  <wp:align>left</wp:align>
                </wp:positionH>
                <wp:positionV relativeFrom="line">
                  <wp:align>top</wp:align>
                </wp:positionV>
                <wp:extent cx="254000" cy="350520"/>
                <wp:effectExtent l="0" t="0" r="0" b="0"/>
                <wp:wrapSquare wrapText="right"/>
                <wp:docPr id="477" name="Frame4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Tracy Zimmermann, Ph.D., our Chief Scientific Officer.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80">
                <wp:simplePos x="0" y="0"/>
                <wp:positionH relativeFrom="column">
                  <wp:align>left</wp:align>
                </wp:positionH>
                <wp:positionV relativeFrom="line">
                  <wp:align>top</wp:align>
                </wp:positionV>
                <wp:extent cx="254000" cy="350520"/>
                <wp:effectExtent l="0" t="0" r="0" b="0"/>
                <wp:wrapSquare wrapText="right"/>
                <wp:docPr id="478" name="Frame4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date, the compensation of our named executive officers has consisted of a combination of base salary, cash incentive compensation, and long-term incentive compensation, as more fully described below. Our named executive officers, like all full-time employees, are eligible to participate in our health, welfare, and retirement benefit plans. As we transition from a private company to a publicly traded company, we intend to evaluate our compensation values and philosophy and compensation plans and arrangements as circumstances require.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2025 Summary Compensation Table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shows the total compensation earned by, or paid to, our named executive officers for services rendered to us in all capacities during Fiscal Year 2025.</w:t>
      </w:r>
      <w:r>
        <w:rPr>
          <w:rFonts w:ascii="Helvetica;Arial;sans-serif" w:hAnsi="Helvetica;Arial;sans-serif"/>
          <w:b w:val="false"/>
          <w:i w:val="false"/>
          <w:caps w:val="false"/>
          <w:smallCaps w:val="false"/>
          <w:color w:val="000000"/>
          <w:spacing w:val="4"/>
          <w:sz w:val="20"/>
        </w:rPr>
        <w:t xml:space="preserve"> </w:t>
      </w:r>
    </w:p>
    <w:tbl>
      <w:tblPr>
        <w:tblW w:w="11571" w:type="dxa"/>
        <w:jc w:val="left"/>
        <w:tblInd w:w="1393" w:type="dxa"/>
        <w:tblLayout w:type="fixed"/>
        <w:tblCellMar>
          <w:top w:w="0" w:type="dxa"/>
          <w:left w:w="0" w:type="dxa"/>
          <w:bottom w:w="46" w:type="dxa"/>
          <w:right w:w="0" w:type="dxa"/>
        </w:tblCellMar>
      </w:tblPr>
      <w:tblGrid>
        <w:gridCol w:w="1258"/>
        <w:gridCol w:w="109"/>
        <w:gridCol w:w="109"/>
        <w:gridCol w:w="109"/>
        <w:gridCol w:w="109"/>
        <w:gridCol w:w="586"/>
        <w:gridCol w:w="109"/>
        <w:gridCol w:w="109"/>
        <w:gridCol w:w="109"/>
        <w:gridCol w:w="109"/>
        <w:gridCol w:w="109"/>
        <w:gridCol w:w="886"/>
        <w:gridCol w:w="109"/>
        <w:gridCol w:w="109"/>
        <w:gridCol w:w="109"/>
        <w:gridCol w:w="109"/>
        <w:gridCol w:w="109"/>
        <w:gridCol w:w="796"/>
        <w:gridCol w:w="109"/>
        <w:gridCol w:w="109"/>
        <w:gridCol w:w="109"/>
        <w:gridCol w:w="109"/>
        <w:gridCol w:w="109"/>
        <w:gridCol w:w="886"/>
        <w:gridCol w:w="109"/>
        <w:gridCol w:w="109"/>
        <w:gridCol w:w="109"/>
        <w:gridCol w:w="132"/>
        <w:gridCol w:w="132"/>
        <w:gridCol w:w="1080"/>
        <w:gridCol w:w="135"/>
        <w:gridCol w:w="109"/>
        <w:gridCol w:w="109"/>
        <w:gridCol w:w="147"/>
        <w:gridCol w:w="147"/>
        <w:gridCol w:w="1036"/>
        <w:gridCol w:w="149"/>
        <w:gridCol w:w="109"/>
        <w:gridCol w:w="109"/>
        <w:gridCol w:w="109"/>
        <w:gridCol w:w="109"/>
        <w:gridCol w:w="886"/>
        <w:gridCol w:w="109"/>
        <w:gridCol w:w="154"/>
      </w:tblGrid>
      <w:tr>
        <w:trPr/>
        <w:tc>
          <w:tcPr>
            <w:tcW w:w="1258" w:type="dxa"/>
            <w:tcBorders>
              <w:bottom w:val="single" w:sz="2" w:space="0" w:color="000000"/>
            </w:tcBorders>
            <w:vAlign w:val="center"/>
          </w:tcPr>
          <w:p>
            <w:pPr>
              <w:pStyle w:val="TableContents"/>
              <w:bidi w:val="0"/>
              <w:spacing w:before="0" w:after="0"/>
              <w:jc w:val="left"/>
              <w:rPr>
                <w:spacing w:val="-2"/>
              </w:rPr>
            </w:pPr>
            <w:r>
              <w:rPr>
                <w:spacing w:val="-2"/>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202" w:before="0" w:after="0"/>
              <w:jc w:val="center"/>
              <w:rPr/>
            </w:pPr>
            <w:r>
              <w:rPr>
                <w:spacing w:val="-2"/>
              </w:rPr>
              <w:t>Salary</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lineRule="atLeast" w:line="202" w:before="0" w:after="0"/>
              <w:jc w:val="center"/>
              <w:rPr/>
            </w:pPr>
            <w:r>
              <w:rPr>
                <w:spacing w:val="-2"/>
              </w:rPr>
              <w:t>Bonus</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2"/>
              </w:rPr>
              <w:t>Option</w:t>
            </w:r>
            <w:r>
              <w:rPr/>
              <w:t xml:space="preserve"> </w:t>
              <w:br/>
            </w:r>
            <w:r>
              <w:rPr>
                <w:spacing w:val="-2"/>
              </w:rPr>
              <w:t>Awards</w:t>
            </w:r>
            <w:r>
              <w:rPr>
                <w:spacing w:val="-1"/>
                <w:sz w:val="11"/>
              </w:rPr>
              <w:t>(1)</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9" w:type="dxa"/>
            <w:gridSpan w:val="4"/>
            <w:tcBorders>
              <w:bottom w:val="single" w:sz="2" w:space="0" w:color="000000"/>
            </w:tcBorders>
            <w:vAlign w:val="center"/>
          </w:tcPr>
          <w:p>
            <w:pPr>
              <w:pStyle w:val="TableContents"/>
              <w:bidi w:val="0"/>
              <w:spacing w:lineRule="atLeast" w:line="142" w:before="0" w:after="0"/>
              <w:jc w:val="center"/>
              <w:rPr/>
            </w:pPr>
            <w:r>
              <w:rPr>
                <w:spacing w:val="-2"/>
              </w:rPr>
              <w:t xml:space="preserve">Non-Equity </w:t>
            </w:r>
            <w:r>
              <w:rPr/>
              <w:br/>
            </w:r>
            <w:r>
              <w:rPr>
                <w:spacing w:val="-2"/>
              </w:rPr>
              <w:t xml:space="preserve">Incentive Plan </w:t>
            </w:r>
            <w:r>
              <w:rPr/>
              <w:br/>
            </w:r>
            <w:r>
              <w:rPr>
                <w:spacing w:val="-2"/>
              </w:rPr>
              <w:t>Compensation</w:t>
            </w:r>
            <w:r>
              <w:rPr>
                <w:spacing w:val="-1"/>
                <w:sz w:val="11"/>
              </w:rPr>
              <w:t>(2)</w:t>
            </w:r>
            <w:r>
              <w:rPr>
                <w:spacing w:val="-2"/>
              </w:rPr>
              <w:t xml:space="preserve"> </w:t>
            </w:r>
            <w:r>
              <w:rPr/>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9" w:type="dxa"/>
            <w:gridSpan w:val="4"/>
            <w:tcBorders>
              <w:bottom w:val="single" w:sz="2" w:space="0" w:color="000000"/>
            </w:tcBorders>
            <w:vAlign w:val="center"/>
          </w:tcPr>
          <w:p>
            <w:pPr>
              <w:pStyle w:val="TableContents"/>
              <w:bidi w:val="0"/>
              <w:spacing w:lineRule="atLeast" w:line="142" w:before="0" w:after="0"/>
              <w:jc w:val="center"/>
              <w:rPr/>
            </w:pPr>
            <w:r>
              <w:rPr>
                <w:spacing w:val="-2"/>
              </w:rPr>
              <w:t xml:space="preserve">All Other </w:t>
            </w:r>
            <w:r>
              <w:rPr/>
              <w:br/>
            </w:r>
            <w:r>
              <w:rPr>
                <w:spacing w:val="-2"/>
              </w:rPr>
              <w:t>Compensation</w:t>
            </w:r>
            <w:r>
              <w:rPr>
                <w:spacing w:val="-1"/>
                <w:sz w:val="11"/>
              </w:rPr>
              <w:t>(3)</w:t>
            </w:r>
            <w:r>
              <w:rPr>
                <w:spacing w:val="-2"/>
              </w:rPr>
              <w:t xml:space="preserve"> </w:t>
            </w:r>
            <w:r>
              <w:rPr/>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202" w:before="0" w:after="0"/>
              <w:jc w:val="center"/>
              <w:rPr/>
            </w:pPr>
            <w:r>
              <w:rPr>
                <w:spacing w:val="-2"/>
              </w:rPr>
              <w:t>Total</w:t>
            </w:r>
            <w:r>
              <w:rPr/>
              <w:t xml:space="preserve"> </w:t>
              <w:br/>
            </w:r>
            <w:r>
              <w:rPr>
                <w:spacing w:val="-2"/>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58" w:type="dxa"/>
            <w:tcBorders/>
            <w:shd w:fill="CCEEFF" w:val="clear"/>
            <w:tcMar>
              <w:bottom w:w="0" w:type="dxa"/>
            </w:tcMar>
            <w:vAlign w:val="center"/>
          </w:tcPr>
          <w:p>
            <w:pPr>
              <w:pStyle w:val="TableContents"/>
              <w:bidi w:val="0"/>
              <w:spacing w:lineRule="atLeast" w:line="216" w:before="0" w:after="0"/>
              <w:ind w:left="180" w:right="0" w:hanging="180"/>
              <w:jc w:val="left"/>
              <w:rPr/>
            </w:pPr>
            <w:r>
              <w:rPr>
                <w:spacing w:val="-2"/>
              </w:rPr>
              <w:t>Andrew Orth, M.B.A.</w:t>
            </w:r>
            <w:r>
              <w:rPr/>
              <w:t xml:space="preserve"> </w:t>
              <w:br/>
            </w:r>
            <w:r>
              <w:rPr>
                <w:i/>
                <w:spacing w:val="-2"/>
              </w:rPr>
              <w:t xml:space="preserve">President and Chief </w:t>
            </w:r>
            <w:r>
              <w:rPr/>
              <w:br/>
            </w:r>
            <w:r>
              <w:rPr>
                <w:i/>
                <w:spacing w:val="-2"/>
              </w:rPr>
              <w:t>Executive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080" w:type="dxa"/>
            <w:tcBorders/>
            <w:shd w:fill="CCEEFF" w:val="clear"/>
            <w:tcMar>
              <w:bottom w:w="0" w:type="dxa"/>
            </w:tcMar>
            <w:vAlign w:val="center"/>
          </w:tcPr>
          <w:p>
            <w:pPr>
              <w:pStyle w:val="TableContents"/>
              <w:bidi w:val="0"/>
              <w:spacing w:before="0" w:after="283"/>
              <w:jc w:val="right"/>
              <w:rPr/>
            </w:pPr>
            <w:r>
              <w:rPr/>
              <w:t>188,100</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14,000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677,100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8" w:type="dxa"/>
            <w:tcBorders/>
            <w:tcMar>
              <w:bottom w:w="0" w:type="dxa"/>
            </w:tcMar>
            <w:vAlign w:val="center"/>
          </w:tcPr>
          <w:p>
            <w:pPr>
              <w:pStyle w:val="TableContents"/>
              <w:bidi w:val="0"/>
              <w:spacing w:before="0" w:after="0"/>
              <w:ind w:left="180" w:right="0" w:hanging="180"/>
              <w:jc w:val="left"/>
              <w:rPr/>
            </w:pPr>
            <w:r>
              <w:rPr>
                <w:spacing w:val="-2"/>
              </w:rPr>
              <w:t>Baisong Mei, M.D., Ph.D.</w:t>
            </w:r>
            <w:r>
              <w:rPr/>
              <w:t xml:space="preserve"> </w:t>
              <w:br/>
            </w:r>
            <w:r>
              <w:rPr>
                <w:i/>
                <w:spacing w:val="-2"/>
              </w:rPr>
              <w:t>Chief Medical Officer</w:t>
            </w:r>
            <w:r>
              <w:rPr>
                <w:spacing w:val="-1"/>
                <w:szCs w:val="11"/>
              </w:rPr>
              <w:t>﻿</w:t>
            </w:r>
            <w:r>
              <w:rPr>
                <w:spacing w:val="-1"/>
                <w:sz w:val="11"/>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358,077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50,000</w:t>
            </w:r>
            <w:r>
              <w:rPr>
                <w:sz w:val="11"/>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364,236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080" w:type="dxa"/>
            <w:tcBorders/>
            <w:tcMar>
              <w:bottom w:w="0" w:type="dxa"/>
            </w:tcMar>
            <w:vAlign w:val="center"/>
          </w:tcPr>
          <w:p>
            <w:pPr>
              <w:pStyle w:val="TableContents"/>
              <w:bidi w:val="0"/>
              <w:spacing w:before="0" w:after="283"/>
              <w:jc w:val="right"/>
              <w:rPr/>
            </w:pPr>
            <w:r>
              <w:rPr/>
              <w:t>110,226</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9,500</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892,039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58" w:type="dxa"/>
            <w:tcBorders/>
            <w:shd w:fill="CCEEFF" w:val="clear"/>
            <w:tcMar>
              <w:bottom w:w="0" w:type="dxa"/>
            </w:tcMar>
            <w:vAlign w:val="center"/>
          </w:tcPr>
          <w:p>
            <w:pPr>
              <w:pStyle w:val="TableContents"/>
              <w:bidi w:val="0"/>
              <w:spacing w:before="0" w:after="0"/>
              <w:ind w:left="180" w:right="0" w:hanging="180"/>
              <w:jc w:val="left"/>
              <w:rPr/>
            </w:pPr>
            <w:r>
              <w:rPr>
                <w:spacing w:val="-2"/>
              </w:rPr>
              <w:t>Tracy Zimmermann, Ph.D.</w:t>
            </w:r>
            <w:r>
              <w:rPr/>
              <w:t xml:space="preserve"> </w:t>
              <w:br/>
            </w:r>
            <w:r>
              <w:rPr>
                <w:i/>
                <w:spacing w:val="-2"/>
              </w:rPr>
              <w:t>Chief Scientific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499,200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19,831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080" w:type="dxa"/>
            <w:tcBorders/>
            <w:shd w:fill="CCEEFF" w:val="clear"/>
            <w:tcMar>
              <w:bottom w:w="0" w:type="dxa"/>
            </w:tcMar>
            <w:vAlign w:val="center"/>
          </w:tcPr>
          <w:p>
            <w:pPr>
              <w:pStyle w:val="TableContents"/>
              <w:bidi w:val="0"/>
              <w:spacing w:before="0" w:after="283"/>
              <w:jc w:val="right"/>
              <w:rPr/>
            </w:pPr>
            <w:r>
              <w:rPr/>
              <w:t>153,754</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14,000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686,784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reported represent the aggregate grant date fair value of stock option awards granted in Fiscal Year 2025, computed in accordance with Financial Accounting Standards Board Accounting Standards Codification Topic 718 (“FASB ASC Topic 718”). Such grant date fair values do not take into account any estimated forfeitures related to service-based vesting. The assumptions used in calculating the grant date fair values of the option awards reported in this column are set forth in Note 12 of our consolidated financial statements for Fiscal Year 2025, included elsewhere in this prospectus. The amounts reported in this column reflect the accounting cost for these option awards and do not correspond to the actual economic value that may be received by our named executive officers upon the exercise of the option awards or any sale of the underlying securities.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91440" distB="0" distL="0" distR="0" simplePos="0" locked="0" layoutInCell="1" allowOverlap="1" relativeHeight="481">
                <wp:simplePos x="0" y="0"/>
                <wp:positionH relativeFrom="column">
                  <wp:align>left</wp:align>
                </wp:positionH>
                <wp:positionV relativeFrom="line">
                  <wp:align>top</wp:align>
                </wp:positionV>
                <wp:extent cx="254000" cy="233680"/>
                <wp:effectExtent l="0" t="0" r="0" b="0"/>
                <wp:wrapSquare wrapText="right"/>
                <wp:docPr id="479" name="Frame45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reported represent the annual cash incentive bonuses earned for Fiscal Year 2025 based on achievement of corporate performance measures and individual performance, as described in more detail under the heading “</w:t>
      </w:r>
      <w:r>
        <w:rPr>
          <w:rFonts w:ascii="Helvetica;Arial;sans-serif" w:hAnsi="Helvetica;Arial;sans-serif"/>
          <w:b w:val="false"/>
          <w:i/>
          <w:caps w:val="false"/>
          <w:smallCaps w:val="false"/>
          <w:color w:val="000000"/>
          <w:spacing w:val="-2"/>
          <w:sz w:val="16"/>
        </w:rPr>
        <w:t>2025 Cash Bonuses</w:t>
      </w:r>
      <w:r>
        <w:rPr>
          <w:rFonts w:ascii="Helvetica;Arial;sans-serif" w:hAnsi="Helvetica;Arial;sans-serif"/>
          <w:b w:val="false"/>
          <w:i w:val="false"/>
          <w:caps w:val="false"/>
          <w:smallCaps w:val="false"/>
          <w:color w:val="000000"/>
          <w:spacing w:val="-2"/>
          <w:sz w:val="16"/>
        </w:rPr>
        <w:t>” below. The bonus paid to Dr. Mei was prorated to reflect his partial year of employment.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3340" distB="0" distL="0" distR="0" simplePos="0" locked="0" layoutInCell="1" allowOverlap="1" relativeHeight="482">
                <wp:simplePos x="0" y="0"/>
                <wp:positionH relativeFrom="column">
                  <wp:align>left</wp:align>
                </wp:positionH>
                <wp:positionV relativeFrom="line">
                  <wp:align>top</wp:align>
                </wp:positionV>
                <wp:extent cx="254000" cy="233680"/>
                <wp:effectExtent l="0" t="0" r="0" b="0"/>
                <wp:wrapSquare wrapText="right"/>
                <wp:docPr id="480" name="Frame45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reported represent 401(k) employer matching contributions made by us on behalf of each named executive officer under our 401(k) plan.</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483">
                <wp:simplePos x="0" y="0"/>
                <wp:positionH relativeFrom="column">
                  <wp:align>left</wp:align>
                </wp:positionH>
                <wp:positionV relativeFrom="line">
                  <wp:align>top</wp:align>
                </wp:positionV>
                <wp:extent cx="254000" cy="233680"/>
                <wp:effectExtent l="0" t="0" r="0" b="0"/>
                <wp:wrapSquare wrapText="right"/>
                <wp:docPr id="481" name="Frame45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Dr. Mei commenced employment with us in March 2025. The amount reported in the salary column represents the amount actually earned for his partial year of employment.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484">
                <wp:simplePos x="0" y="0"/>
                <wp:positionH relativeFrom="column">
                  <wp:align>left</wp:align>
                </wp:positionH>
                <wp:positionV relativeFrom="line">
                  <wp:align>top</wp:align>
                </wp:positionV>
                <wp:extent cx="254000" cy="233680"/>
                <wp:effectExtent l="0" t="0" r="0" b="0"/>
                <wp:wrapSquare wrapText="right"/>
                <wp:docPr id="482" name="Frame46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180" w:before="120" w:after="283"/>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 reported represents a sign-on bonus in the amount of $50,000 in connection with the commencement of Dr. Mei’s employment with us in 2025.</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485">
                <wp:simplePos x="0" y="0"/>
                <wp:positionH relativeFrom="column">
                  <wp:align>left</wp:align>
                </wp:positionH>
                <wp:positionV relativeFrom="line">
                  <wp:posOffset>635</wp:posOffset>
                </wp:positionV>
                <wp:extent cx="254000" cy="233680"/>
                <wp:effectExtent l="0" t="0" r="0" b="0"/>
                <wp:wrapSquare wrapText="right"/>
                <wp:docPr id="483" name="Frame46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Narrative Disclosure to the 2025 Summary Compensation Table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2025 Base Salaries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named executive officers each receive a base salary to compensate them for services rendered to us. Base salaries are intended to provide a fixed component of compensation reflecting the executive’s skill set, experience, role, and responsibilities. Base salaries are expected to be reviewed annually, typically in connection with our annual performance review process, approved by our board of directors or the compensation committee of the board of directors, and may be adjusted from time to time to realign salaries with market levels after taking into account individual responsibilities, performance, and experience.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Fiscal Year 2025, the base salaries for Mr. Orth, Dr. Mei, and Dr. Zimmermann were $475,000, $475,000, and $499,200,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2025 Cash Bonuses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named executive officers are eligible to receive annual performance-based cash bonuses, which are designed to provide appropriate incentives to our executives to achieve corporate performance goals and to reward our executives for individual achievement towards these goals. For Fiscal Year 2025, each of the named executive officers was eligible to earn an annual performance bonus based on the achievement of certain corporate performance and individual performance goals. For Fiscal Year 2025, the target annual bonus for Mr. Orth, Dr. Mei, and Dr. Zimmermann was 45%, 35%, and 35% of base salary, respectively. Based on the level of achievement of the applicable corporate performance measures and individual performance goals, annual bonuses for Fiscal Year 2025 were paid at 88% of target. Dr. Mei’s Fiscal Year 2025 annual bonus was prorated based on his start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Equity Incentive Compensation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executive compensation philosophy is designed to align compensation with long-term value creation and the interests of our stockholders. Consistent with this philosophy, we provide annual equity grants to our executive officers, with a significant portion of such grants weighted toward performance-based vesting. We believe equity grants provide our executives with a strong link to our long-term performance, create an ownership culture, and help to align the interests of our executives and our stockholders. In addition, we believe equity grants promote executive retention because they incentivize our executive officers to remain in our service during the vesting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Fiscal Year 2025, we granted Dr. Mei and Dr. Zimmermann stock options to purchase our common stock under the 2023 Plan. Mr. Orth did not receive any equity awards in Fiscal Year 2025. For additional information regarding outstanding equity awards held by our named executive officers as of December 31, 2025, see the “</w:t>
      </w:r>
      <w:r>
        <w:rPr>
          <w:rFonts w:ascii="Helvetica;Arial;sans-serif" w:hAnsi="Helvetica;Arial;sans-serif"/>
          <w:b w:val="false"/>
          <w:i/>
          <w:caps w:val="false"/>
          <w:smallCaps w:val="false"/>
          <w:color w:val="000000"/>
          <w:spacing w:val="-2"/>
          <w:sz w:val="20"/>
        </w:rPr>
        <w:t>Outstanding Equity Awards at 2025 Fiscal Year-End</w:t>
      </w:r>
      <w:r>
        <w:rPr>
          <w:rFonts w:ascii="Helvetica;Arial;sans-serif" w:hAnsi="Helvetica;Arial;sans-serif"/>
          <w:b w:val="false"/>
          <w:i w:val="false"/>
          <w:caps w:val="false"/>
          <w:smallCaps w:val="false"/>
          <w:color w:val="000000"/>
          <w:spacing w:val="-2"/>
          <w:sz w:val="20"/>
        </w:rPr>
        <w:t>” table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401(k) Plan and Health and Welfare Benefits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During Fiscal Year 2025, we participated in the ADP TotalSource Retirement Savings Plan (the “ADP 401(k) Plan”), a 401(k) plan maintained by ADP TotalSource Group, Inc., our professional employer organization, in which our employees, including our named executive officers, were eligible to participate if they satisfy certain eligibility requirements. Our named executive officers participated in the ADP 401(k) Plan on the same terms as our other full-time employees. During Fiscal Year 2025, we provided employer contributions under the ADP 401(k) Plan of 4% of each eligible employee’s annual eligible compensation, subject to the safe harbor limit. Beginning in January 1, 2026, we sponsor and maintain our own 401(k) plan through Fidelity for our employees, including our named executive officers. We believe that providing a vehicle for tax-deferred retirement savings though the 401(k) plan adds to the overall desirability of our executive compensation package and further incentivizes our employees, including our named executive officers, in accordance with our compensation policies.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than the 401(k) plan, we do not provide any qualified or non-qualified retirement or deferred compensation benefits to our employees, including our named executive officers.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of our full-time employees, including our named executive officers, are eligible to participate in our health and welfare plans, including medical, dental, and vision benefits, short-term and long-term disability insurance, basic life and accidental death and dismemberment insurance, and certain voluntary benefits.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Employment Arrangements for Named Executive Officers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initially entered into employment agreements or offer letters with each of our named executive officers in connection with their commencement of employment, which set forth the terms and conditions of their employment, including base salary, target annual bonus opportunity, initial equity awards, severance benefits and eligibility to participate in our employee benefit plans generally offered to our employees. The material terms of the offer letters are summarized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Current Offer Letters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Andrew (Andy) Orth, M.B.A.</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November 9, 2024, we entered into an offer letter with Mr. Orth for the position of President and Chief Executive Officer (the “Orth Offer Letter”), which provides for Mr. Orth’s at-will employment. Pursuant to the Orth Offer Letter, Mr. Orth is eligible to receive an annual base salary, subject to adjustment pursuant to our employee compensation policies in effect from time to time, and an annual performance bonus, as determined by our board of directors based on objective or subjective criteria approved by our board of directors. Mr. Orth is also eligible to participate in the employee benefit plans generally available to our employees, subject to the terms of those plans.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Orth Offer Letter, Mr. Orth received four option grants to purchase an aggregate of 1,370,000 shares of our common stock. The first option grant covers 860,000 shares and is subject to time-based vesting, with 25% of the shares subject to the option vesting after 12 months of continuous service from Mr. Orth’s start date and the remaining shares vesting in equal monthly installments over the following 36 months. The second option grant covers 368,000 shares and vests upon a specified regulatory development milestone, subject to Mr. Orth’s continuous service through such approval. The third option grant covers 71,000 shares and vests upon the closing of our initial public offering, subject to certain financial conditions as set forth in the Orth Offer Letter and Mr. Orth’s continuous service through such closing. The fourth option grant covers 71,000 shares and vests upon the successful completion of a clinical trial that satisfies the criteria set forth in the Orth Offer Letter, subject to Mr. Orth’s continuous service through such completion. In addition, Mr. Orth will immediately vest in his remaining unvested options if (i) the Company is subject to a “change in control” before Mr. Orth’s service with the Company terminates and (ii) upon or within 12 months after such change in control, Mr. Orth’s employment is terminated by the Company without “cause” or due to Mr. Orth’s “resignation for good reason,” in each case, as defined in the Orth Offer Letter.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pursuant to the Orth Offer Letter, in the event that Mr. Orth’s employment is terminated by us without “cause” or due to Mr. Orth’s “resignation for good reason,” subject to Mr. Orth’s execution of a general release of claims in favor of us and satisfaction of certain other conditions, Mr. Orth is entitled to receive (i) continuation of his then-current base salary for a period of nine months and (ii) up to nine months of Consolidated Omnibus Budget Reconciliation Act (“COBRA”) premium payments at the same rate we pay for active employees and their eligible dependents.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Baisong Mei, M.D., Ph.D.</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On March 21, 2025, we entered into an offer letter with Dr. Mei for the position of Chief Medical Officer (the “Mei Offer Letter”), which provides for Dr. Mei’s at-will employment. Pursuant to the Mei Offer Letter, Dr. Mei is eligible to receive an annual base salary, subject to adjustment pursuant to our employee compensation policies in effect from time to time, and an annual performance bonus, as determined by our Chief Executive Officer and approved by our board of directors based on objective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or subjective criteria. Dr. Mei is also eligible to participate in the employee benefit plans generally available to our employees, subject to the terms of those plans. Dr. Mei also received a sign-on bonus of $50,000, subject to repayment if his employment had terminated within one year of his start date for any reason other than a termination by us without “cause” or by Dr. Mei’s “resignation for good reason,” in each case as defined in the Mei Offer Letter.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Pursuant to the Mei Offer Letter, Dr. Mei received two option grants to purchase an aggregate of 328,400 shares of our common stock. The first option grant covers 229,880 shares and is subject to time-based vesting, with 25% of the shares subject to the option vesting after 12 months of continuous service from Dr. Mei’s start date and the remaining shares vesting in equal monthly installments over the following 36 months. The second option grant covers 98,520 shares and vests upon achievement of certain specified clinical development milestone based on clinical proof-of-concept data, in each case as determined by our board of directors, subject to Dr. Mei’s continuous service through such date. In addition, Dr. Mei will immediately vest in his remaining unvested option if (i) the Company is subject to a “change in control” before Dr. Mei’s service with the Company terminates and (ii) upon or within 12 months after such change in control, Dr. Mei’s employment is terminated by the Company without “cause” or due to Dr. Mei’s “resignation for good reason,” in each case, as defined in the Mei Offer Letter.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pursuant to the Mei Offer Letter, in the event that Dr. Mei’s employment is terminated by us without “cause” or due to Dr. Mei’s “resignation for good reason,” subject to Dr. Mei’s execution of a general release of claims in favor of us and satisfaction of certain other conditions, Dr. Mei is entitled to receive (i) continuation of his then-current base salary for a period of nine months and (ii) up to nine months of COBRA premium payments at the same rate we pay for active employees and their eligible dependents.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Tracy Zimmermann, Ph.D.</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May 8, 2024, we entered into an offer letter with Dr. Zimmermann for the position of Chief Scientific Officer (the “Zimmermann Offer Letter”), which provides for Dr. Zimmermann’s at-will employment. Pursuant to the Zimmermann Offer Letter, Dr. Zimmermann is eligible to receive an annual base salary, subject to adjustment pursuant to our employee compensation policies in effect from time to time, and an annual performance bonus, as determined by our Chief Executive Officer and approved by our board of directors based on objective or subjective criteria. Dr. Zimmermann is also eligible to participate in the employee benefit plans generally available to our employees, subject to the terms of those plans.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Zimmermann Offer Letter, Dr. Zimmermann received three option grants to purchase an aggregate of 408,891 shares of our common stock. The first option grant covers 228,979 shares and is subject to time-based vesting, with 25% of the shares subject to the option vesting after 12 months of continuous service from Dr. Zimmermann’s start date and the remaining shares vesting in equal monthly installments over the following 36 months. The second option grant covers 98,134 shares and vests upon a specified regulatory development milestone, subject to Dr. Zimmermann’s continuous service through such approval. The third option grant covers 81,778 shares and vests upon achievement of a specified clinical development milestone based on clinical proof-of-concept data. In addition, Dr. Zimmermann will immediately vest in her remaining unvested option if (i) the Company is subject to a “change in control” before Dr. Zimmermann’s service with the Company terminates and (ii) upon or within 12 months after such change in control, Dr. Zimmermann’s employment is terminated by the Company without “cause” or due to Dr. Zimmermann’s “resignation for good reason,” in each case, as defined in the Zimmermann Offer Letter.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pursuant to the Zimmermann Offer Letter, in the event that Dr. Zimmermann’s employment is terminated by us without “cause” or due to Dr. Zimmermann’s “resignation for good reason,” subject to Dr. Zimmermann’s execution of a general release of claims in favor of us and satisfaction of certain other conditions, Dr. Zimmermann is entitled to receive (i) continuation of her then-current base salary for a period of nine months and (ii) up to nine months of COBRA premium payments at the same rate we pay for active employees and their eligible dependents.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40"/>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Outstanding Equity Awards at 2025 Fiscal Year-End</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information concerning outstanding equity awards held by each of our named executive officers as of December 31, 2025.</w:t>
      </w:r>
      <w:r>
        <w:rPr>
          <w:rFonts w:ascii="Helvetica;Arial;sans-serif" w:hAnsi="Helvetica;Arial;sans-serif"/>
          <w:b w:val="false"/>
          <w:i w:val="false"/>
          <w:caps w:val="false"/>
          <w:smallCaps w:val="false"/>
          <w:color w:val="000000"/>
          <w:spacing w:val="4"/>
          <w:sz w:val="20"/>
        </w:rPr>
        <w:t xml:space="preserve"> </w:t>
      </w:r>
    </w:p>
    <w:tbl>
      <w:tblPr>
        <w:tblW w:w="9662" w:type="dxa"/>
        <w:jc w:val="left"/>
        <w:tblInd w:w="543" w:type="dxa"/>
        <w:tblLayout w:type="fixed"/>
        <w:tblCellMar>
          <w:top w:w="0" w:type="dxa"/>
          <w:left w:w="0" w:type="dxa"/>
          <w:bottom w:w="28" w:type="dxa"/>
          <w:right w:w="0" w:type="dxa"/>
        </w:tblCellMar>
      </w:tblPr>
      <w:tblGrid>
        <w:gridCol w:w="1487"/>
        <w:gridCol w:w="109"/>
        <w:gridCol w:w="109"/>
        <w:gridCol w:w="670"/>
        <w:gridCol w:w="109"/>
        <w:gridCol w:w="109"/>
        <w:gridCol w:w="114"/>
        <w:gridCol w:w="114"/>
        <w:gridCol w:w="929"/>
        <w:gridCol w:w="115"/>
        <w:gridCol w:w="109"/>
        <w:gridCol w:w="109"/>
        <w:gridCol w:w="128"/>
        <w:gridCol w:w="128"/>
        <w:gridCol w:w="1046"/>
        <w:gridCol w:w="131"/>
        <w:gridCol w:w="109"/>
        <w:gridCol w:w="109"/>
        <w:gridCol w:w="119"/>
        <w:gridCol w:w="119"/>
        <w:gridCol w:w="974"/>
        <w:gridCol w:w="121"/>
        <w:gridCol w:w="109"/>
        <w:gridCol w:w="109"/>
        <w:gridCol w:w="115"/>
        <w:gridCol w:w="115"/>
        <w:gridCol w:w="557"/>
        <w:gridCol w:w="116"/>
        <w:gridCol w:w="109"/>
        <w:gridCol w:w="109"/>
        <w:gridCol w:w="109"/>
        <w:gridCol w:w="109"/>
        <w:gridCol w:w="768"/>
        <w:gridCol w:w="109"/>
        <w:gridCol w:w="161"/>
      </w:tblGrid>
      <w:tr>
        <w:trPr/>
        <w:tc>
          <w:tcPr>
            <w:tcW w:w="14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08" w:type="dxa"/>
            <w:gridSpan w:val="28"/>
            <w:tcBorders>
              <w:bottom w:val="single" w:sz="2" w:space="0" w:color="000000"/>
            </w:tcBorders>
            <w:tcMar>
              <w:bottom w:w="50" w:type="dxa"/>
            </w:tcMar>
            <w:vAlign w:val="center"/>
          </w:tcPr>
          <w:p>
            <w:pPr>
              <w:pStyle w:val="TableContents"/>
              <w:bidi w:val="0"/>
              <w:spacing w:lineRule="atLeast" w:line="142" w:before="0" w:after="0"/>
              <w:jc w:val="center"/>
              <w:rPr/>
            </w:pPr>
            <w:r>
              <w:rPr>
                <w:spacing w:val="-2"/>
              </w:rPr>
              <w:t>Option Awards</w:t>
            </w:r>
            <w:r>
              <w:rPr>
                <w:spacing w:val="-2"/>
                <w:sz w:val="13"/>
              </w:rPr>
              <w:t>(1)</w:t>
            </w:r>
            <w:r>
              <w:rPr/>
              <w:t xml:space="preserv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487" w:type="dxa"/>
            <w:tcBorders>
              <w:bottom w:val="single" w:sz="2" w:space="0" w:color="000000"/>
            </w:tcBorders>
            <w:tcMar>
              <w:bottom w:w="42"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0" w:type="dxa"/>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Grant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Number of</w:t>
            </w:r>
            <w:r>
              <w:rPr/>
              <w:t xml:space="preserve"> </w:t>
              <w:br/>
            </w:r>
            <w:r>
              <w:rPr>
                <w:spacing w:val="-2"/>
              </w:rPr>
              <w:t>Securities</w:t>
            </w:r>
            <w:r>
              <w:rPr/>
              <w:t xml:space="preserve"> </w:t>
              <w:br/>
            </w:r>
            <w:r>
              <w:rPr>
                <w:spacing w:val="-2"/>
              </w:rPr>
              <w:t>Underlying</w:t>
            </w:r>
            <w:r>
              <w:rPr/>
              <w:t xml:space="preserve"> </w:t>
              <w:br/>
            </w:r>
            <w:r>
              <w:rPr>
                <w:spacing w:val="-2"/>
              </w:rPr>
              <w:t>Unexercised</w:t>
            </w:r>
            <w:r>
              <w:rPr/>
              <w:t xml:space="preserve"> </w:t>
              <w:br/>
            </w:r>
            <w:r>
              <w:rPr>
                <w:spacing w:val="-2"/>
              </w:rPr>
              <w:t>Options (#)</w:t>
            </w:r>
            <w:r>
              <w:rPr/>
              <w:t xml:space="preserve"> </w:t>
              <w:br/>
            </w:r>
            <w:r>
              <w:rPr>
                <w:spacing w:val="-2"/>
              </w:rP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Number of </w:t>
            </w:r>
            <w:r>
              <w:rPr/>
              <w:br/>
            </w:r>
            <w:r>
              <w:rPr>
                <w:spacing w:val="-2"/>
              </w:rPr>
              <w:t>Securities</w:t>
            </w:r>
            <w:r>
              <w:rPr/>
              <w:t xml:space="preserve"> </w:t>
              <w:br/>
            </w:r>
            <w:r>
              <w:rPr>
                <w:spacing w:val="-2"/>
              </w:rPr>
              <w:t>Underlying</w:t>
            </w:r>
            <w:r>
              <w:rPr/>
              <w:t xml:space="preserve"> </w:t>
              <w:br/>
            </w:r>
            <w:r>
              <w:rPr>
                <w:spacing w:val="-2"/>
              </w:rPr>
              <w:t xml:space="preserve">Unexercised </w:t>
            </w:r>
            <w:r>
              <w:rPr/>
              <w:br/>
            </w:r>
            <w:r>
              <w:rPr>
                <w:spacing w:val="-2"/>
              </w:rPr>
              <w:t xml:space="preserve">Options (#) </w:t>
            </w:r>
            <w:r>
              <w:rPr/>
              <w:br/>
            </w:r>
            <w:r>
              <w:rPr>
                <w:spacing w:val="-2"/>
              </w:rP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Equity Incentive</w:t>
            </w:r>
            <w:r>
              <w:rPr/>
              <w:t xml:space="preserve"> </w:t>
              <w:br/>
            </w:r>
            <w:r>
              <w:rPr>
                <w:spacing w:val="-2"/>
              </w:rPr>
              <w:t>Plan Awards</w:t>
            </w:r>
            <w:r>
              <w:rPr/>
              <w:t xml:space="preserve"> </w:t>
              <w:br/>
            </w:r>
            <w:r>
              <w:rPr>
                <w:spacing w:val="-2"/>
              </w:rPr>
              <w:t>Number of</w:t>
            </w:r>
            <w:r>
              <w:rPr/>
              <w:t xml:space="preserve"> </w:t>
              <w:br/>
            </w:r>
            <w:r>
              <w:rPr>
                <w:spacing w:val="-2"/>
              </w:rPr>
              <w:t>Securities</w:t>
            </w:r>
            <w:r>
              <w:rPr/>
              <w:t xml:space="preserve"> </w:t>
              <w:br/>
            </w:r>
            <w:r>
              <w:rPr>
                <w:spacing w:val="-2"/>
              </w:rPr>
              <w:t>Underlying</w:t>
            </w:r>
            <w:r>
              <w:rPr/>
              <w:t xml:space="preserve"> </w:t>
              <w:br/>
            </w:r>
            <w:r>
              <w:rPr>
                <w:spacing w:val="-2"/>
              </w:rPr>
              <w:t>Unexercised</w:t>
            </w:r>
            <w:r>
              <w:rPr/>
              <w:t xml:space="preserve"> </w:t>
              <w:br/>
            </w:r>
            <w:r>
              <w:rPr>
                <w:spacing w:val="-2"/>
              </w:rPr>
              <w:t xml:space="preserve">Unearned </w:t>
            </w:r>
            <w:r>
              <w:rPr/>
              <w:br/>
            </w:r>
            <w:r>
              <w:rPr>
                <w:spacing w:val="-2"/>
              </w:rPr>
              <w:t>Options</w:t>
            </w:r>
            <w:r>
              <w:rPr/>
              <w:t xml:space="preserve"> </w:t>
              <w:br/>
            </w:r>
            <w:r>
              <w:rPr>
                <w:spacing w:val="-2"/>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Option</w:t>
            </w:r>
            <w:r>
              <w:rPr/>
              <w:t xml:space="preserve"> </w:t>
              <w:br/>
            </w:r>
            <w:r>
              <w:rPr>
                <w:spacing w:val="-2"/>
              </w:rPr>
              <w:t xml:space="preserve">Exercise </w:t>
            </w:r>
            <w:r>
              <w:rPr/>
              <w:br/>
            </w:r>
            <w:r>
              <w:rPr>
                <w:spacing w:val="-2"/>
              </w:rPr>
              <w:t>Price</w:t>
            </w:r>
            <w:r>
              <w:rPr/>
              <w:t xml:space="preserve"> </w:t>
              <w:br/>
            </w:r>
            <w:r>
              <w:rPr>
                <w:spacing w:val="-2"/>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5"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Option </w:t>
            </w:r>
            <w:r>
              <w:rPr/>
              <w:br/>
            </w:r>
            <w:r>
              <w:rPr>
                <w:spacing w:val="-2"/>
              </w:rPr>
              <w:t>Expiration</w:t>
            </w:r>
            <w:r>
              <w:rPr/>
              <w:t xml:space="preserve"> </w:t>
              <w:br/>
            </w:r>
            <w:r>
              <w:rPr>
                <w:spacing w:val="-2"/>
              </w:rPr>
              <w:t xml:space="preserve">Date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487" w:type="dxa"/>
            <w:vMerge w:val="restart"/>
            <w:tcBorders/>
            <w:shd w:fill="CCEEFF" w:val="clear"/>
            <w:tcMar>
              <w:bottom w:w="0" w:type="dxa"/>
            </w:tcMar>
            <w:vAlign w:val="center"/>
          </w:tcPr>
          <w:p>
            <w:pPr>
              <w:pStyle w:val="TableContents"/>
              <w:bidi w:val="0"/>
              <w:spacing w:lineRule="atLeast" w:line="240" w:before="0" w:after="0"/>
              <w:jc w:val="left"/>
              <w:rPr>
                <w:spacing w:val="-2"/>
              </w:rPr>
            </w:pPr>
            <w:r>
              <w:rPr>
                <w:spacing w:val="-2"/>
              </w:rPr>
              <w:t xml:space="preserve">Andrew Orth, M.B.A.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lineRule="atLeast" w:line="240" w:before="0" w:after="0"/>
              <w:jc w:val="center"/>
              <w:rPr/>
            </w:pPr>
            <w:r>
              <w:rPr>
                <w:spacing w:val="-2"/>
              </w:rPr>
              <w:t>12/11/2024</w:t>
            </w:r>
            <w:r>
              <w:rPr>
                <w:spacing w:val="-2"/>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lineRule="atLeast" w:line="240" w:before="0" w:after="283"/>
              <w:jc w:val="right"/>
              <w:rPr/>
            </w:pPr>
            <w:r>
              <w:rPr/>
              <w:t>​</w:t>
            </w:r>
          </w:p>
        </w:tc>
        <w:tc>
          <w:tcPr>
            <w:tcW w:w="929" w:type="dxa"/>
            <w:tcBorders/>
            <w:shd w:fill="CCEEFF" w:val="clear"/>
            <w:tcMar>
              <w:bottom w:w="0" w:type="dxa"/>
            </w:tcMar>
            <w:vAlign w:val="center"/>
          </w:tcPr>
          <w:p>
            <w:pPr>
              <w:pStyle w:val="TableContents"/>
              <w:bidi w:val="0"/>
              <w:spacing w:lineRule="atLeast" w:line="240" w:before="0" w:after="283"/>
              <w:jc w:val="right"/>
              <w:rPr/>
            </w:pPr>
            <w:r>
              <w:rPr/>
              <w:t>215,000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lineRule="atLeast" w:line="240" w:before="0" w:after="283"/>
              <w:jc w:val="right"/>
              <w:rPr/>
            </w:pPr>
            <w:r>
              <w:rPr/>
              <w:t>​</w:t>
            </w:r>
          </w:p>
        </w:tc>
        <w:tc>
          <w:tcPr>
            <w:tcW w:w="1046" w:type="dxa"/>
            <w:tcBorders/>
            <w:shd w:fill="CCEEFF" w:val="clear"/>
            <w:tcMar>
              <w:bottom w:w="0" w:type="dxa"/>
            </w:tcMar>
            <w:vAlign w:val="center"/>
          </w:tcPr>
          <w:p>
            <w:pPr>
              <w:pStyle w:val="TableContents"/>
              <w:bidi w:val="0"/>
              <w:spacing w:lineRule="atLeast" w:line="240" w:before="0" w:after="283"/>
              <w:jc w:val="right"/>
              <w:rPr/>
            </w:pPr>
            <w:r>
              <w:rPr/>
              <w:t>645,000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lineRule="atLeast" w:line="240" w:before="0" w:after="283"/>
              <w:jc w:val="right"/>
              <w:rPr/>
            </w:pPr>
            <w:r>
              <w:rPr/>
              <w:t>​</w:t>
            </w:r>
          </w:p>
        </w:tc>
        <w:tc>
          <w:tcPr>
            <w:tcW w:w="974" w:type="dxa"/>
            <w:tcBorders/>
            <w:shd w:fill="CCEEFF" w:val="clear"/>
            <w:tcMar>
              <w:bottom w:w="0" w:type="dxa"/>
            </w:tcMar>
            <w:vAlign w:val="center"/>
          </w:tcPr>
          <w:p>
            <w:pPr>
              <w:pStyle w:val="TableContents"/>
              <w:bidi w:val="0"/>
              <w:spacing w:lineRule="atLeast" w:line="240"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lineRule="atLeast" w:line="240" w:before="0" w:after="283"/>
              <w:jc w:val="right"/>
              <w:rPr/>
            </w:pPr>
            <w:r>
              <w:rPr/>
              <w:t>​</w:t>
            </w:r>
          </w:p>
        </w:tc>
        <w:tc>
          <w:tcPr>
            <w:tcW w:w="557" w:type="dxa"/>
            <w:tcBorders/>
            <w:shd w:fill="CCEEFF" w:val="clear"/>
            <w:tcMar>
              <w:bottom w:w="0" w:type="dxa"/>
            </w:tcMar>
            <w:vAlign w:val="center"/>
          </w:tcPr>
          <w:p>
            <w:pPr>
              <w:pStyle w:val="TableContents"/>
              <w:bidi w:val="0"/>
              <w:spacing w:lineRule="atLeast" w:line="240"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8" w:type="dxa"/>
            <w:tcBorders/>
            <w:shd w:fill="CCEEFF" w:val="clear"/>
            <w:tcMar>
              <w:bottom w:w="0" w:type="dxa"/>
            </w:tcMar>
            <w:vAlign w:val="center"/>
          </w:tcPr>
          <w:p>
            <w:pPr>
              <w:pStyle w:val="TableContents"/>
              <w:bidi w:val="0"/>
              <w:spacing w:lineRule="atLeast" w:line="240" w:before="0" w:after="283"/>
              <w:jc w:val="right"/>
              <w:rPr/>
            </w:pPr>
            <w:r>
              <w:rPr/>
              <w:t>12/10/2034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12/11/2024</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368,000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12/10/2034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12/11/2024</w:t>
            </w:r>
            <w:r>
              <w:rPr>
                <w:spacing w:val="-2"/>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71,000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12/10/2034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12/11/2024</w:t>
            </w:r>
            <w:r>
              <w:rPr>
                <w:spacing w:val="-2"/>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71,000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12/10/2034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restart"/>
            <w:tcBorders/>
            <w:tcMar>
              <w:bottom w:w="0" w:type="dxa"/>
            </w:tcMar>
            <w:vAlign w:val="center"/>
          </w:tcPr>
          <w:p>
            <w:pPr>
              <w:pStyle w:val="TableContents"/>
              <w:bidi w:val="0"/>
              <w:spacing w:lineRule="atLeast" w:line="240" w:before="0" w:after="0"/>
              <w:jc w:val="left"/>
              <w:rPr>
                <w:spacing w:val="-2"/>
              </w:rPr>
            </w:pPr>
            <w:r>
              <w:rPr>
                <w:spacing w:val="-2"/>
              </w:rPr>
              <w:t xml:space="preserve">Baisong Mei, M.D., Ph.D.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0" w:type="dxa"/>
            <w:tcBorders/>
            <w:tcMar>
              <w:bottom w:w="0" w:type="dxa"/>
            </w:tcMar>
            <w:vAlign w:val="center"/>
          </w:tcPr>
          <w:p>
            <w:pPr>
              <w:pStyle w:val="TableContents"/>
              <w:bidi w:val="0"/>
              <w:spacing w:lineRule="atLeast" w:line="240" w:before="0" w:after="0"/>
              <w:jc w:val="center"/>
              <w:rPr/>
            </w:pPr>
            <w:r>
              <w:rPr>
                <w:spacing w:val="-2"/>
              </w:rPr>
              <w:t>05/13/2025</w:t>
            </w:r>
            <w:r>
              <w:rPr>
                <w:spacing w:val="-2"/>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240" w:before="0" w:after="283"/>
              <w:jc w:val="right"/>
              <w:rPr/>
            </w:pPr>
            <w:r>
              <w:rPr/>
              <w:t>​</w:t>
            </w:r>
          </w:p>
        </w:tc>
        <w:tc>
          <w:tcPr>
            <w:tcW w:w="929" w:type="dxa"/>
            <w:tcBorders/>
            <w:tcMar>
              <w:bottom w:w="0" w:type="dxa"/>
            </w:tcMar>
            <w:vAlign w:val="center"/>
          </w:tcPr>
          <w:p>
            <w:pPr>
              <w:pStyle w:val="TableContents"/>
              <w:bidi w:val="0"/>
              <w:spacing w:lineRule="atLeast" w:line="240"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lineRule="atLeast" w:line="240" w:before="0" w:after="283"/>
              <w:jc w:val="right"/>
              <w:rPr/>
            </w:pPr>
            <w:r>
              <w:rPr/>
              <w:t>​</w:t>
            </w:r>
          </w:p>
        </w:tc>
        <w:tc>
          <w:tcPr>
            <w:tcW w:w="1046" w:type="dxa"/>
            <w:tcBorders/>
            <w:tcMar>
              <w:bottom w:w="0" w:type="dxa"/>
            </w:tcMar>
            <w:vAlign w:val="center"/>
          </w:tcPr>
          <w:p>
            <w:pPr>
              <w:pStyle w:val="TableContents"/>
              <w:bidi w:val="0"/>
              <w:spacing w:lineRule="atLeast" w:line="240" w:before="0" w:after="283"/>
              <w:jc w:val="right"/>
              <w:rPr/>
            </w:pPr>
            <w:r>
              <w:rPr/>
              <w:t>229,880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lineRule="atLeast" w:line="240" w:before="0" w:after="283"/>
              <w:jc w:val="right"/>
              <w:rPr/>
            </w:pPr>
            <w:r>
              <w:rPr/>
              <w:t>​</w:t>
            </w:r>
          </w:p>
        </w:tc>
        <w:tc>
          <w:tcPr>
            <w:tcW w:w="974" w:type="dxa"/>
            <w:tcBorders/>
            <w:tcMar>
              <w:bottom w:w="0" w:type="dxa"/>
            </w:tcMar>
            <w:vAlign w:val="center"/>
          </w:tcPr>
          <w:p>
            <w:pPr>
              <w:pStyle w:val="TableContents"/>
              <w:bidi w:val="0"/>
              <w:spacing w:lineRule="atLeast" w:line="240"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lineRule="atLeast" w:line="240" w:before="0" w:after="283"/>
              <w:jc w:val="right"/>
              <w:rPr/>
            </w:pPr>
            <w:r>
              <w:rPr/>
              <w:t>​</w:t>
            </w:r>
          </w:p>
        </w:tc>
        <w:tc>
          <w:tcPr>
            <w:tcW w:w="557" w:type="dxa"/>
            <w:tcBorders/>
            <w:tcMar>
              <w:bottom w:w="0" w:type="dxa"/>
            </w:tcMar>
            <w:vAlign w:val="center"/>
          </w:tcPr>
          <w:p>
            <w:pPr>
              <w:pStyle w:val="TableContents"/>
              <w:bidi w:val="0"/>
              <w:spacing w:lineRule="atLeast" w:line="240" w:before="0" w:after="283"/>
              <w:jc w:val="right"/>
              <w:rPr/>
            </w:pPr>
            <w:r>
              <w:rPr/>
              <w:t>2.01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8" w:type="dxa"/>
            <w:tcBorders/>
            <w:tcMar>
              <w:bottom w:w="0" w:type="dxa"/>
            </w:tcMar>
            <w:vAlign w:val="center"/>
          </w:tcPr>
          <w:p>
            <w:pPr>
              <w:pStyle w:val="TableContents"/>
              <w:bidi w:val="0"/>
              <w:spacing w:lineRule="atLeast" w:line="240" w:before="0" w:after="283"/>
              <w:jc w:val="right"/>
              <w:rPr/>
            </w:pPr>
            <w:r>
              <w:rPr/>
              <w:t>05/12/2034</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48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670" w:type="dxa"/>
            <w:tcBorders/>
            <w:tcMar>
              <w:bottom w:w="0" w:type="dxa"/>
            </w:tcMar>
            <w:vAlign w:val="center"/>
          </w:tcPr>
          <w:p>
            <w:pPr>
              <w:pStyle w:val="TableContents"/>
              <w:bidi w:val="0"/>
              <w:spacing w:before="0" w:after="0"/>
              <w:jc w:val="center"/>
              <w:rPr/>
            </w:pPr>
            <w:r>
              <w:rPr>
                <w:spacing w:val="-2"/>
              </w:rPr>
              <w:t>05/13/2025</w:t>
            </w:r>
            <w:r>
              <w:rPr>
                <w:spacing w:val="-2"/>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046"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74" w:type="dxa"/>
            <w:tcBorders/>
            <w:tcMar>
              <w:bottom w:w="0" w:type="dxa"/>
            </w:tcMar>
            <w:vAlign w:val="center"/>
          </w:tcPr>
          <w:p>
            <w:pPr>
              <w:pStyle w:val="TableContents"/>
              <w:bidi w:val="0"/>
              <w:spacing w:before="0" w:after="283"/>
              <w:jc w:val="right"/>
              <w:rPr/>
            </w:pPr>
            <w:r>
              <w:rPr/>
              <w:t>98,520</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557" w:type="dxa"/>
            <w:tcBorders/>
            <w:tcMar>
              <w:bottom w:w="0" w:type="dxa"/>
            </w:tcMar>
            <w:vAlign w:val="center"/>
          </w:tcPr>
          <w:p>
            <w:pPr>
              <w:pStyle w:val="TableContents"/>
              <w:bidi w:val="0"/>
              <w:spacing w:before="0" w:after="283"/>
              <w:jc w:val="right"/>
              <w:rPr/>
            </w:pPr>
            <w:r>
              <w:rPr/>
              <w:t>2.01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05/12/2034</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487" w:type="dxa"/>
            <w:vMerge w:val="restart"/>
            <w:tcBorders/>
            <w:shd w:fill="CCEEFF" w:val="clear"/>
            <w:tcMar>
              <w:bottom w:w="0" w:type="dxa"/>
            </w:tcMar>
            <w:vAlign w:val="center"/>
          </w:tcPr>
          <w:p>
            <w:pPr>
              <w:pStyle w:val="TableContents"/>
              <w:bidi w:val="0"/>
              <w:spacing w:lineRule="atLeast" w:line="240" w:before="0" w:after="0"/>
              <w:jc w:val="left"/>
              <w:rPr>
                <w:spacing w:val="-2"/>
              </w:rPr>
            </w:pPr>
            <w:r>
              <w:rPr>
                <w:spacing w:val="-2"/>
              </w:rPr>
              <w:t xml:space="preserve">Tracy Zimmermann, Ph.D.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lineRule="atLeast" w:line="240" w:before="0" w:after="0"/>
              <w:jc w:val="center"/>
              <w:rPr/>
            </w:pPr>
            <w:r>
              <w:rPr>
                <w:spacing w:val="-2"/>
              </w:rPr>
              <w:t>07/16/2024</w:t>
            </w:r>
            <w:r>
              <w:rPr>
                <w:spacing w:val="-2"/>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lineRule="atLeast" w:line="240" w:before="0" w:after="283"/>
              <w:jc w:val="right"/>
              <w:rPr/>
            </w:pPr>
            <w:r>
              <w:rPr/>
              <w:t>​</w:t>
            </w:r>
          </w:p>
        </w:tc>
        <w:tc>
          <w:tcPr>
            <w:tcW w:w="929" w:type="dxa"/>
            <w:tcBorders/>
            <w:shd w:fill="CCEEFF" w:val="clear"/>
            <w:tcMar>
              <w:bottom w:w="0" w:type="dxa"/>
            </w:tcMar>
            <w:vAlign w:val="center"/>
          </w:tcPr>
          <w:p>
            <w:pPr>
              <w:pStyle w:val="TableContents"/>
              <w:bidi w:val="0"/>
              <w:spacing w:lineRule="atLeast" w:line="240" w:before="0" w:after="283"/>
              <w:jc w:val="right"/>
              <w:rPr/>
            </w:pPr>
            <w:r>
              <w:rPr/>
              <w:t>85,867</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lineRule="atLeast" w:line="240" w:before="0" w:after="283"/>
              <w:jc w:val="right"/>
              <w:rPr/>
            </w:pPr>
            <w:r>
              <w:rPr/>
              <w:t>​</w:t>
            </w:r>
          </w:p>
        </w:tc>
        <w:tc>
          <w:tcPr>
            <w:tcW w:w="1046" w:type="dxa"/>
            <w:tcBorders/>
            <w:shd w:fill="CCEEFF" w:val="clear"/>
            <w:tcMar>
              <w:bottom w:w="0" w:type="dxa"/>
            </w:tcMar>
            <w:vAlign w:val="center"/>
          </w:tcPr>
          <w:p>
            <w:pPr>
              <w:pStyle w:val="TableContents"/>
              <w:bidi w:val="0"/>
              <w:spacing w:lineRule="atLeast" w:line="240" w:before="0" w:after="283"/>
              <w:jc w:val="right"/>
              <w:rPr/>
            </w:pPr>
            <w:r>
              <w:rPr/>
              <w:t>143,112</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lineRule="atLeast" w:line="240" w:before="0" w:after="283"/>
              <w:jc w:val="right"/>
              <w:rPr/>
            </w:pPr>
            <w:r>
              <w:rPr/>
              <w:t>​</w:t>
            </w:r>
          </w:p>
        </w:tc>
        <w:tc>
          <w:tcPr>
            <w:tcW w:w="974" w:type="dxa"/>
            <w:tcBorders/>
            <w:shd w:fill="CCEEFF" w:val="clear"/>
            <w:tcMar>
              <w:bottom w:w="0" w:type="dxa"/>
            </w:tcMar>
            <w:vAlign w:val="center"/>
          </w:tcPr>
          <w:p>
            <w:pPr>
              <w:pStyle w:val="TableContents"/>
              <w:bidi w:val="0"/>
              <w:spacing w:lineRule="atLeast" w:line="240"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lineRule="atLeast" w:line="240" w:before="0" w:after="283"/>
              <w:jc w:val="right"/>
              <w:rPr/>
            </w:pPr>
            <w:r>
              <w:rPr/>
              <w:t>​</w:t>
            </w:r>
          </w:p>
        </w:tc>
        <w:tc>
          <w:tcPr>
            <w:tcW w:w="557" w:type="dxa"/>
            <w:tcBorders/>
            <w:shd w:fill="CCEEFF" w:val="clear"/>
            <w:tcMar>
              <w:bottom w:w="0" w:type="dxa"/>
            </w:tcMar>
            <w:vAlign w:val="center"/>
          </w:tcPr>
          <w:p>
            <w:pPr>
              <w:pStyle w:val="TableContents"/>
              <w:bidi w:val="0"/>
              <w:spacing w:lineRule="atLeast" w:line="240"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8" w:type="dxa"/>
            <w:tcBorders/>
            <w:shd w:fill="CCEEFF" w:val="clear"/>
            <w:tcMar>
              <w:bottom w:w="0" w:type="dxa"/>
            </w:tcMar>
            <w:vAlign w:val="center"/>
          </w:tcPr>
          <w:p>
            <w:pPr>
              <w:pStyle w:val="TableContents"/>
              <w:bidi w:val="0"/>
              <w:spacing w:lineRule="atLeast" w:line="240" w:before="0" w:after="283"/>
              <w:jc w:val="right"/>
              <w:rPr/>
            </w:pPr>
            <w:r>
              <w:rPr/>
              <w:t>07/15/2034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07/16/2024</w:t>
            </w:r>
            <w:r>
              <w:rPr>
                <w:spacing w:val="-2"/>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98,134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07/15/2034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07/16/2024</w:t>
            </w:r>
            <w:r>
              <w:rPr>
                <w:spacing w:val="-2"/>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81,778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07/15/2034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02/25/2025</w:t>
            </w:r>
            <w:r>
              <w:rPr>
                <w:spacing w:val="-2"/>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1,093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4,157</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02/24/2035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8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70" w:type="dxa"/>
            <w:tcBorders/>
            <w:shd w:fill="CCEEFF" w:val="clear"/>
            <w:tcMar>
              <w:bottom w:w="0" w:type="dxa"/>
            </w:tcMar>
            <w:vAlign w:val="center"/>
          </w:tcPr>
          <w:p>
            <w:pPr>
              <w:pStyle w:val="TableContents"/>
              <w:bidi w:val="0"/>
              <w:spacing w:before="0" w:after="0"/>
              <w:jc w:val="center"/>
              <w:rPr/>
            </w:pPr>
            <w:r>
              <w:rPr>
                <w:spacing w:val="-2"/>
              </w:rPr>
              <w:t>02/25/2025</w:t>
            </w:r>
            <w:r>
              <w:rPr>
                <w:spacing w:val="-2"/>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12,250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02/24/2035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6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All stock option awards were granted under our 2023 Plan, described below. All options are exercisable immediately upon grant, subject to a repurchase right in favor of the Company, which lapses as the option vests. Accordingly, the columns and footnotes below reflect the extent to which the stock options held by our named executive officers were vested (as opposed to exercisable) as of December 31, 2025.</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486">
                <wp:simplePos x="0" y="0"/>
                <wp:positionH relativeFrom="column">
                  <wp:align>left</wp:align>
                </wp:positionH>
                <wp:positionV relativeFrom="line">
                  <wp:align>top</wp:align>
                </wp:positionV>
                <wp:extent cx="254000" cy="233680"/>
                <wp:effectExtent l="0" t="0" r="0" b="0"/>
                <wp:wrapSquare wrapText="right"/>
                <wp:docPr id="484" name="Frame46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25% of the shares vested on grant date, and the remaining 75% of the shares vest in 36 equal monthly installments thereafter, subject to the executive’s continued service relationship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87">
                <wp:simplePos x="0" y="0"/>
                <wp:positionH relativeFrom="column">
                  <wp:align>left</wp:align>
                </wp:positionH>
                <wp:positionV relativeFrom="line">
                  <wp:align>top</wp:align>
                </wp:positionV>
                <wp:extent cx="254000" cy="233680"/>
                <wp:effectExtent l="0" t="0" r="0" b="0"/>
                <wp:wrapSquare wrapText="right"/>
                <wp:docPr id="485" name="Frame46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the Company’s first approval of a specified regulatory development milestone, subject to Mr. Orth’s continued service relationship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88">
                <wp:simplePos x="0" y="0"/>
                <wp:positionH relativeFrom="column">
                  <wp:align>left</wp:align>
                </wp:positionH>
                <wp:positionV relativeFrom="line">
                  <wp:align>top</wp:align>
                </wp:positionV>
                <wp:extent cx="254000" cy="233680"/>
                <wp:effectExtent l="0" t="0" r="0" b="0"/>
                <wp:wrapSquare wrapText="right"/>
                <wp:docPr id="486" name="Frame46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the Company’s closing of an initial public offering, subject to certain financial conditions as set forth in the Orth Offer Letter and Mr. Orth’s continuous service through such closing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89">
                <wp:simplePos x="0" y="0"/>
                <wp:positionH relativeFrom="column">
                  <wp:align>left</wp:align>
                </wp:positionH>
                <wp:positionV relativeFrom="line">
                  <wp:align>top</wp:align>
                </wp:positionV>
                <wp:extent cx="254000" cy="233680"/>
                <wp:effectExtent l="0" t="0" r="0" b="0"/>
                <wp:wrapSquare wrapText="right"/>
                <wp:docPr id="487" name="Frame46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the Company’s successful completion of specified clinical development milestones, subject to Mr. Orth’s continuous service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90">
                <wp:simplePos x="0" y="0"/>
                <wp:positionH relativeFrom="column">
                  <wp:align>left</wp:align>
                </wp:positionH>
                <wp:positionV relativeFrom="line">
                  <wp:align>top</wp:align>
                </wp:positionV>
                <wp:extent cx="254000" cy="233680"/>
                <wp:effectExtent l="0" t="0" r="0" b="0"/>
                <wp:wrapSquare wrapText="right"/>
                <wp:docPr id="488" name="Frame46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achievement of certain specified clinical development milestone based on clinical proof-of-concept data, subject to Dr. Mei’s continuous service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91">
                <wp:simplePos x="0" y="0"/>
                <wp:positionH relativeFrom="column">
                  <wp:align>left</wp:align>
                </wp:positionH>
                <wp:positionV relativeFrom="line">
                  <wp:align>top</wp:align>
                </wp:positionV>
                <wp:extent cx="254000" cy="233680"/>
                <wp:effectExtent l="0" t="0" r="0" b="0"/>
                <wp:wrapSquare wrapText="right"/>
                <wp:docPr id="489" name="Frame46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(6)</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a specified regulatory development milestone, subject to Dr. Zimmermann’s continuous service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92">
                <wp:simplePos x="0" y="0"/>
                <wp:positionH relativeFrom="column">
                  <wp:align>left</wp:align>
                </wp:positionH>
                <wp:positionV relativeFrom="line">
                  <wp:align>top</wp:align>
                </wp:positionV>
                <wp:extent cx="254000" cy="233680"/>
                <wp:effectExtent l="0" t="0" r="0" b="0"/>
                <wp:wrapSquare wrapText="right"/>
                <wp:docPr id="490" name="Frame46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(7)</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(7)</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the achievement of a specified clinical development milestone , subject to Dr. Zimmermann’s continuous service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93">
                <wp:simplePos x="0" y="0"/>
                <wp:positionH relativeFrom="column">
                  <wp:align>left</wp:align>
                </wp:positionH>
                <wp:positionV relativeFrom="line">
                  <wp:align>top</wp:align>
                </wp:positionV>
                <wp:extent cx="254000" cy="233680"/>
                <wp:effectExtent l="0" t="0" r="0" b="0"/>
                <wp:wrapSquare wrapText="right"/>
                <wp:docPr id="491" name="Frame46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(8)</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(8)</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in 48 equal monthly installments thereafter, subject to Dr. Zimmermann’s continued service relationship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94">
                <wp:simplePos x="0" y="0"/>
                <wp:positionH relativeFrom="column">
                  <wp:align>left</wp:align>
                </wp:positionH>
                <wp:positionV relativeFrom="line">
                  <wp:align>top</wp:align>
                </wp:positionV>
                <wp:extent cx="254000" cy="233680"/>
                <wp:effectExtent l="0" t="0" r="0" b="0"/>
                <wp:wrapSquare wrapText="right"/>
                <wp:docPr id="492" name="Frame47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(9)</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(9)</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shares underlying this stock option award vest as follows: immediately upon achievement of a specified clinical development milestone, subject to Dr. Zimmermann’s continuous service through the applicable vesting date.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95">
                <wp:simplePos x="0" y="0"/>
                <wp:positionH relativeFrom="column">
                  <wp:align>left</wp:align>
                </wp:positionH>
                <wp:positionV relativeFrom="line">
                  <wp:align>top</wp:align>
                </wp:positionV>
                <wp:extent cx="254000" cy="233680"/>
                <wp:effectExtent l="0" t="0" r="0" b="0"/>
                <wp:wrapSquare wrapText="right"/>
                <wp:docPr id="493" name="Frame47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(10)</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(10)</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Employee Benefit and Equity Compensation Plans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2023 Stock Plan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2023 Plan was initially adopted by our board of directors on July 17, 2023, and approved by our stockholders on August 14, 2023. The 2023 Plan was subsequently amended on April 16, 2024, December 11, 2024, February 25, 2025, January 23, 2026, May 20, 2026, and June 3, 2026 to increase the number of shares reserved for issuance thereunder. Under the 2023 Plan, as amended, we have reserved for issuance an aggregate of 9,121,166 shares of our common stock. These numbers are subject to adjustment in the event of certain changes in our capitalization, including a subdivision of our outstanding common stock, a dividend payable in shares of common stock, a combination or consolidation of our outstanding common stock into a lesser number of shares, a reclassification, or other increase or decrease in the number of issued shares of our common stock effected without receipt of consideration by us. Our board of directors has determined not to issue any further awards under the 2023 Plan following the completion of this offering, but all outstanding awards under the 2023 Plan will continue to be governed by their existing terms. In connection with this offering, we intend to adopt a new equity incentive plan under which we will grant equity-based awards following this offering, as described below under “</w:t>
      </w:r>
      <w:r>
        <w:rPr>
          <w:rFonts w:ascii="Helvetica;Arial;sans-serif" w:hAnsi="Helvetica;Arial;sans-serif"/>
          <w:b w:val="false"/>
          <w:i/>
          <w:caps w:val="false"/>
          <w:smallCaps w:val="false"/>
          <w:color w:val="000000"/>
          <w:spacing w:val="-2"/>
          <w:sz w:val="20"/>
        </w:rPr>
        <w:t>2026 Stock Option and Incentive Plan</w:t>
      </w:r>
      <w:r>
        <w:rPr>
          <w:rFonts w:ascii="Helvetica;Arial;sans-serif" w:hAnsi="Helvetica;Arial;sans-serif"/>
          <w:b w:val="false"/>
          <w:i w:val="false"/>
          <w:caps w:val="false"/>
          <w:smallCaps w:val="false"/>
          <w:color w:val="000000"/>
          <w:spacing w:val="-2"/>
          <w:sz w:val="20"/>
        </w:rPr>
        <w:t>.” The following summary describes the material terms of the 2023 Plan. This summary is not a complete description of all provisions of the 2023 Plan and is qualified in its entirety by reference to the 2023 Plan, which will be filed as an exhibit to the registration statement of which this prospectus is a part.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shares of common stock previously issued under the 2023 Plan that are forfeited to or repurchased by us due to failure to vest are currently added back to the shares of common stock available for issuance under the 2023 Plan. In addition, shares that otherwise would have been issuable under the 2023 Plan but are withheld by us in payment of the purchase price or exercise price of an award or in satisfaction of withholding taxes remain available for issuance under the 2023 Plan. Shares subject to any outstanding option, restricted stock unit or other right that expires or is cancelled for any reason, to the extent allocable to the unexercised or unsettled portion of such award, remain available for issuance under the 2023 Plan. To the extent an award is settled in cash, the cash settlement does not reduce the number of shares remaining available for issuance under the 2023 Plan. Following the completion of this offering, any such shares that would otherwise become available for issuance under the 2023 Plan will instead be added to the shares of common stock available for issuance under the 2026 Plan (as defined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board of directors has acted as administrator of the 2023 Plan. The administrator has full authority and discretion to take any actions it deems necessary or advisable for the administration of the 2023 Plan. Persons eligible to participate in the 2023 Plan are our employees, outside directors and consultants.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2023 Plan permits the granting of (i) options to purchase common stock intended to qualify as incentive stock options under Section 422 of the Code and (ii) options that do not so qualify. The option exercise price of each option is determined by the administrator but may not be less than 100% of the fair market value of our common stock on the date of grant or, in the case of an incentive stock option granted to a 10% owner, the exercise price shall not be less than 110% of the fair market value of our common stock on the date of grant. The term of each option is fixed by the administrator and may not exceed ten years from the date of grant, or five years in the case of certain incentive stock options grants. The administrator determines when each option becomes vested and exercisable.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administrator of the 2023 Plan may award or sell shares of common stock subject to such terms and conditions as it determines, including forfeiture conditions, repurchase rights, rights of first refusal and other transfer restrictions.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administrator of the 2023 Plan may also grant restricted stock units subject to such vesting conditions and other terms and conditions as it determines. Restricted stock units may be settled in shares of common stock, cash or a combination of both, as determined by the administrator.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event of certain changes in our capitalization, including a subdivision of our outstanding common stock, a dividend payable in shares of common stock, a combination or consolidation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outstanding common stock into a lesser number of shares, a reclassification or any other increase or decrease in the number of issued shares of common stock effected without receipt of consideration by us, proportionate adjustments will be made, as applicable, to the number and kind of shares available for issuance under the 2023 Plan, the number and kind of shares subject to outstanding awards and outstanding rights to purchase shares, the exercise price or purchase price applicable to such awards or rights and any applicable repurchase price. In addition, in the event of an extraordinary dividend payable in a form other than shares, a recapitalization, a spin-off or similar occurrence, the administrator may make appropriate adjustments to such items.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2023 Plan provides that, in the event that the Company is a party to a merger or consolidation, or in the event of a sale of all or substantially all of our stock or assets, shares acquired under the 2023 Plan and outstanding awards under the 2023 Plan will be treated in the manner described in the definitive transaction agreement or, if there is no such agreement to which the Company is a party, as determined by our board of directors. Such treatment need not be the same for all awards or all portions of an award and may include, among other things: (i) continuing or assuming the award or substituting a comparable award, (ii) cancelling the award and making a payment with respect to the vested portion of such award, (iii) cancelling an option without payment following notice and an opportunity to exercise the option to the extent vested or becoming vested in connection with the transaction, (iv) suspending option exercise rights for a limited period prior to the closing of the transaction and/or (v) terminating any early exercise rights. Our board of directors also has discretion to accelerate, in whole or in part, the vesting and exercisability of an award in connection with such corporate transaction.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board of directors may amend, suspend or terminate the 2023 Plan at any time, subject to stockholder approval where required by applicable law. Within the limitations of the 2023 Plan, our board of directors may modify, reprice, extend or assume outstanding options or may accept the cancellation of outstanding options in return for the grant of new options or a different type of award for the same or a different number of shares and at the same or a different exercise price, if applicable. No modification of an option may, without the consent of the optionee, impair the optionee’s rights or increase the optionee’s obligations under such option; provided, however, that a modification of an option that is otherwise favorable to the optionee will not require the consent of the optionee. The Company may also cancel certain options that were not granted in compliance with Rule 701 under the Securities Act upon not less than 30 days’ prior written notice to the optionee. If the Company elects to cancel such option, it will deliver to the optionee consideration with an aggregate value equal to the excess of the fair market value of the shares subject to such option as of the time of the cancellation over the exercise price of such option. If the consideration would be a negative amount, such option may be cancelled without the delivery of any consideration.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 awards may be granted under our 2023 Plan after the date that is ten years from the later of (i) the date our 2023 Plan was adopted by our board of directors or (ii) the date our board of directors approved the most recent increase in the number of shares reserved under our 2023 Plan that was also approved by our stockholders. As described above, our board of directors has determined not to issue any further awards under our 2023 Plan following the completion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2026 Stock Option and Incentive Plan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2026 Stock Option and Incentive Plan (the “2026 Plan”) was adopted by our board of directors on        , 2026, was approved by our stockholders on          , 2026, and will become effective on the date immediately preceding the date on which the registration statement of which this prospectus is a part is declared effective by the SEC. The 2026 Plan will allow us to make equity-based and cash-based incentive awards to our officers, employees, directors, and consultants. The following summary describes the material terms of the 2026 Plan. This summary is not a complete description of all provisions of the 2026 Plan and is qualified in its entirety by reference to the 2026 Plan, which will be filed as an exhibit to the registration statement of which this prospectus is a part.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Authorized Shares</w:t>
      </w:r>
      <w:r>
        <w:rPr>
          <w:rFonts w:ascii="Helvetica;Arial;sans-serif" w:hAnsi="Helvetica;Arial;sans-serif"/>
          <w:b w:val="false"/>
          <w:i w:val="false"/>
          <w:caps w:val="false"/>
          <w:smallCaps w:val="false"/>
          <w:color w:val="000000"/>
          <w:spacing w:val="-2"/>
          <w:sz w:val="20"/>
        </w:rPr>
        <w:t xml:space="preserve">.   We have initially reserved                     shares of our common stock for the issuance of awards under the 2026 Plan (the “Initial Limit”). The 2026 Plan provides that the number of shares reserved and available for issuance under the 2026 Plan will automatically increase on January 1, 2027 and each January thereafter during the term of the 2026 Plan, by % of the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number of shares of our common stock on the immediately preceding December 31 (including, for this purpose, shares underlying any outstanding prefunded warrants) or such lesser number of shares as determined by our compensation committee (the “Annual Increase”). The number of shares reserved for issuance under the 2026 Plan will be subject to adjustment in the event of a stock split, stock dividend, or other change in our capitalization. The shares we issue under the 2026 Plan will be authorized but unissued shares or shares that we reacquire.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shares of common stock underlying any awards under the 2023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common stock available for issuance under the 2026 Plan. The maximum number of shares of common stock that may be issued pursuant to incentive stock options shall not exceed the Initial Limit, cumulatively increased on January 1, 2027 and on each January 1 thereafter by the lesser of the Annual Increase for such year or               shares of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Non-Employee Director Compensation Limit</w:t>
      </w:r>
      <w:r>
        <w:rPr>
          <w:rFonts w:ascii="Helvetica;Arial;sans-serif" w:hAnsi="Helvetica;Arial;sans-serif"/>
          <w:b w:val="false"/>
          <w:i w:val="false"/>
          <w:caps w:val="false"/>
          <w:smallCaps w:val="false"/>
          <w:color w:val="000000"/>
          <w:spacing w:val="-2"/>
          <w:sz w:val="20"/>
        </w:rPr>
        <w:t>.   The grant date fair value of all awards under the 2026 Plan and all other cash compensation paid by us to any non-employee director during any one calendar year for services as a non-employee director may not exceed $ ; provided, however, that such amount shall be $            for the calendar year in which the applicable non-employee director is initially elected or appointed to our board of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Plan Administration</w:t>
      </w:r>
      <w:r>
        <w:rPr>
          <w:rFonts w:ascii="Helvetica;Arial;sans-serif" w:hAnsi="Helvetica;Arial;sans-serif"/>
          <w:b w:val="false"/>
          <w:i w:val="false"/>
          <w:caps w:val="false"/>
          <w:smallCaps w:val="false"/>
          <w:color w:val="000000"/>
          <w:spacing w:val="-2"/>
          <w:sz w:val="20"/>
        </w:rPr>
        <w:t>.   The 2026 Plan will be administered by our compensation committee. Our compensation committee will have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2026 Plan. The compensation committee is specifically authorized to exercise its discretion to reduce the exercise price of outstanding stock options and stock appreciation rights or effect the repricing of such awards through cancellation and re-grants without stockholder consent.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Eligibility</w:t>
      </w:r>
      <w:r>
        <w:rPr>
          <w:rFonts w:ascii="Helvetica;Arial;sans-serif" w:hAnsi="Helvetica;Arial;sans-serif"/>
          <w:b w:val="false"/>
          <w:i w:val="false"/>
          <w:caps w:val="false"/>
          <w:smallCaps w:val="false"/>
          <w:color w:val="000000"/>
          <w:spacing w:val="-2"/>
          <w:sz w:val="20"/>
        </w:rPr>
        <w:t>.   Persons eligible to participate in the 2026 Plan will be those employees, non-employee directors, and consultants selected from time to time by our compensation committee in its discretion.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Stock Options</w:t>
      </w:r>
      <w:r>
        <w:rPr>
          <w:rFonts w:ascii="Helvetica;Arial;sans-serif" w:hAnsi="Helvetica;Arial;sans-serif"/>
          <w:b w:val="false"/>
          <w:i w:val="false"/>
          <w:caps w:val="false"/>
          <w:smallCaps w:val="false"/>
          <w:color w:val="000000"/>
          <w:spacing w:val="-2"/>
          <w:sz w:val="20"/>
        </w:rPr>
        <w:t>.   The 2026 Plan permits the granting of both options to purchase common stock intended 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unless the option (i) is granted pursuant to a transaction described in, and in a manner consistent with, Section 424(a) of the Code, (ii) is granted to an individual who is not subject to United States income tax, or (iii) complies with or is exempt from Section 409A of the Code. The term of each option will be fixed by our compensation committee and may not exceed ten years from the date of grant (or five years in the case of certain incentive stock options). Our compensation committee will determine at what time or times each option may be exercised.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Stock Appreciation Rights</w:t>
      </w:r>
      <w:r>
        <w:rPr>
          <w:rFonts w:ascii="Helvetica;Arial;sans-serif" w:hAnsi="Helvetica;Arial;sans-serif"/>
          <w:b w:val="false"/>
          <w:i w:val="false"/>
          <w:caps w:val="false"/>
          <w:smallCaps w:val="false"/>
          <w:color w:val="000000"/>
          <w:spacing w:val="-2"/>
          <w:sz w:val="20"/>
        </w:rPr>
        <w:t>.   Our compensation committee may award stock appreciation rights under the 2026 Plan subject to such conditions and restrictions as it determines. Stock appreciation rights entitle the recipient to shares of common stock, or cash, equal to the value of the appreciation in our stock price over the exercise price. The exercise price of each stock appreciation right may not be less than 100% of the fair market value of our common stock on the date of grant unless the stock appreciation right (i) is granted pursuant to a transaction described in, and in a manner consistent with, Section 424(a) of the Code, (ii) is granted to an individual who is not subject to United States income tax, or (iii) complies with or is exempt from Section 409A of the Code. The term of each stock appreciation right will be fixed by our compensation committee and may not exceed ten years from the date of grant. Our compensation committee will determine at what time or times each stock appreciation right may be exercised.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Restricted Stock and Restricted Stock Units</w:t>
      </w:r>
      <w:r>
        <w:rPr>
          <w:rFonts w:ascii="Helvetica;Arial;sans-serif" w:hAnsi="Helvetica;Arial;sans-serif"/>
          <w:b w:val="false"/>
          <w:i w:val="false"/>
          <w:caps w:val="false"/>
          <w:smallCaps w:val="false"/>
          <w:color w:val="000000"/>
          <w:spacing w:val="-2"/>
          <w:sz w:val="20"/>
        </w:rPr>
        <w:t xml:space="preserve">.   Our compensation committee may award restricted shares of common stock and restricted stock units to participants subject to such conditions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restrictions as it determines. These conditions and restrictions may include the achievement of certain performance goals and/or continued employment or other service relationship with us through a specified vesting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Unrestricted Stock Awards</w:t>
      </w:r>
      <w:r>
        <w:rPr>
          <w:rFonts w:ascii="Helvetica;Arial;sans-serif" w:hAnsi="Helvetica;Arial;sans-serif"/>
          <w:b w:val="false"/>
          <w:i w:val="false"/>
          <w:caps w:val="false"/>
          <w:smallCaps w:val="false"/>
          <w:color w:val="000000"/>
          <w:spacing w:val="-2"/>
          <w:sz w:val="20"/>
        </w:rPr>
        <w:t>.   Our compensation committee may grant shares of common stock that are free from any restrictions under the 2026 Plan. Unrestricted stock may be granted to participants in recognition of past services or for other valid consideration and may be issued in lieu of cash compensation due to such participant.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Dividend Equivalent Rights</w:t>
      </w:r>
      <w:r>
        <w:rPr>
          <w:rFonts w:ascii="Helvetica;Arial;sans-serif" w:hAnsi="Helvetica;Arial;sans-serif"/>
          <w:b w:val="false"/>
          <w:i w:val="false"/>
          <w:caps w:val="false"/>
          <w:smallCaps w:val="false"/>
          <w:color w:val="000000"/>
          <w:spacing w:val="-2"/>
          <w:sz w:val="20"/>
        </w:rPr>
        <w:t>.   Our compensation committee may grant dividend equivalent rights to participants that entitle the recipient to receive credits for dividends that would be paid if the recipient had held a specified number of shares of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Cash-Based Awards</w:t>
      </w:r>
      <w:r>
        <w:rPr>
          <w:rFonts w:ascii="Helvetica;Arial;sans-serif" w:hAnsi="Helvetica;Arial;sans-serif"/>
          <w:b w:val="false"/>
          <w:i w:val="false"/>
          <w:caps w:val="false"/>
          <w:smallCaps w:val="false"/>
          <w:color w:val="000000"/>
          <w:spacing w:val="-2"/>
          <w:sz w:val="20"/>
        </w:rPr>
        <w:t>.   Our compensation committee may grant cash bonuses under the 2026 Plan to participants, subject to the achievement of certain performance goals.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Sale Event</w:t>
      </w:r>
      <w:r>
        <w:rPr>
          <w:rFonts w:ascii="Helvetica;Arial;sans-serif" w:hAnsi="Helvetica;Arial;sans-serif"/>
          <w:b w:val="false"/>
          <w:i w:val="false"/>
          <w:caps w:val="false"/>
          <w:smallCaps w:val="false"/>
          <w:color w:val="000000"/>
          <w:spacing w:val="-2"/>
          <w:sz w:val="20"/>
        </w:rPr>
        <w:t>.   The 2026 Plan provides that, upon the effectiveness of a “sale event” ​(as defined in the 2026 Plan), an acquirer or successor entity may assume, continue, or substitute outstanding awards under the 2026 Plan. To the extent that awards granted under the 2026 Plan are not assumed, continued, or substituted by the successor entity, the 2026 Plan and all awards granted under the 2026 Plan will terminate. In such case, except as may be otherwise provided in the relevant award agreement, all awards with time-based vesting, conditions, or restrictions will become fully vested and exercisable or nonforfeitable as of the effective time of the sale event and all awards with conditions and restrictions relating to the attainment of performance goals may become vested and exercisable or nonforfeitable in connection with the sale event in the plan administrator’s discretion or to the extent specified in the relevant award agreement. In the event of such termination, (i) individuals holding options and stock appreciation rights will be permitted to exercise any options and stock appreciation rights (to the extent exercisable) within a specified time period, as determined by the compensation committee, prior to the sale event or (ii)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provided, that any options or stock appreciation rights with exercise prices equal to or greater than such per share consideration will be cancelled for no consideration. In addition, we may make or provide for a payment, in cash or in kind, to the participants holding other awards in an amount equal to the per share consideration payable to stockholders in the sale event multiplied by the number of vested shares of common stock under such awards.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Amendment</w:t>
      </w:r>
      <w:r>
        <w:rPr>
          <w:rFonts w:ascii="Helvetica;Arial;sans-serif" w:hAnsi="Helvetica;Arial;sans-serif"/>
          <w:b w:val="false"/>
          <w:i w:val="false"/>
          <w:caps w:val="false"/>
          <w:smallCaps w:val="false"/>
          <w:color w:val="000000"/>
          <w:spacing w:val="-2"/>
          <w:sz w:val="20"/>
        </w:rPr>
        <w:t>.   Our board of directors may amend or discontinue the 2026 Plan and our compensation committee may amend or cancel outstanding awards for purposes of satisfying changes in law or any other lawful purpose, but no such action may materially and adversely affect rights under an award without the holder’s consent. Certain amendments to the 2026 Plan require the approval of our stockholders. The compensation committee is specifically authorized to exercise its discretion to reduce the exercise price of outstanding stock options and stock appreciation rights or effect the repricing of such awards through cancellation and re-grants without stockholder consent.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 awards may be granted under the 2026 Plan after the date that is ten years from the effective date of the 2026 Plan. No awards have been made under the 2026 Plan prior to the date hereof.</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2026 Employee Stock Purchase Plan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2026 Employee Stock Purchase Plan (the “ESPP”) was adopted by our board of directors on               , 2026, was approved by our stockholders on               , 2026, and will become effective on the date immediately preceding the date on which the registration statement of which this prospectus is part is declared effective by the SEC. The ESPP has two components: a component intended to qualify as an “employee stock purchase plan” within the meaning of Section 423 of the Code (the “423 Component”), and a component that is not intended to so qualify (the “Non-423 Component”). Except as otherwise provided, the Non-423 Component will be operated and administered in the same manner as the 423 Component, except where prohibited by law. The following summary describes the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terms of the ESPP. This summary is not a complete description of all provisions of the ESPP and is qualified in its entirety by reference to the ESPP, which will be filed as an exhibit to the registration statement of which this prospectus is a part.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Authorized Shares</w:t>
      </w:r>
      <w:r>
        <w:rPr>
          <w:rFonts w:ascii="Helvetica;Arial;sans-serif" w:hAnsi="Helvetica;Arial;sans-serif"/>
          <w:b w:val="false"/>
          <w:i w:val="false"/>
          <w:caps w:val="false"/>
          <w:smallCaps w:val="false"/>
          <w:color w:val="000000"/>
          <w:spacing w:val="-2"/>
          <w:sz w:val="20"/>
        </w:rPr>
        <w:t>.   The ESPP initially reserves and authorizes the issuance of up to a total of            shares of our common stock to participating employees. The ESPP provides that the number of shares reserved and available for issuance will automatically increase on January 1, 2027 and each January 1 thereafter through January 1, 2036, by the least of (i)         % of the outstanding number of shares of our common stock on the immediately preceding December 31 (including, for this purpose, shares underlying any outstanding prefunded warrants), (ii)                   shares of common stock, or (iii) such number of shares of common stock as determined by the administrator of the ESPP. The number of shares reserved under the ESPP is subject to adjustment in the event of a stock split, stock dividend, or other change in our capitalization.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Eligibility</w:t>
      </w:r>
      <w:r>
        <w:rPr>
          <w:rFonts w:ascii="Helvetica;Arial;sans-serif" w:hAnsi="Helvetica;Arial;sans-serif"/>
          <w:b w:val="false"/>
          <w:i w:val="false"/>
          <w:caps w:val="false"/>
          <w:smallCaps w:val="false"/>
          <w:color w:val="000000"/>
          <w:spacing w:val="-2"/>
          <w:sz w:val="20"/>
        </w:rPr>
        <w:t>.   All individuals classified as employees on the payroll records of the Company or a “designated company” ​(as defined in the ESPP) as of the first day of the applicable offering period are eligible to participate in the ESPP, provided that the ESPP administrator may determine in advance of an offering that employees are eligible only if, as of the first day of the offering, they (a) are customarily employed by us or a designated company for more than 20 hours a week (or such lesser amount determined by the ESPP administrator), (b) are customarily employed by us or a designated company for more than five months per calendar year, (c) have completed a minimum period of employment as determined by the ESPP administrator, provided such service requirement does not exceed two years of employment, and/or (d) they are not highly compensated employees. However, any employee who owns, or as a result of participation in the ESPP would own or hold, 5% or more of the total combined voting power or value of all classes of our stock will not be eligible to purchase shares of common stock under the ESPP.</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Offerings</w:t>
      </w:r>
      <w:r>
        <w:rPr>
          <w:rFonts w:ascii="Helvetica;Arial;sans-serif" w:hAnsi="Helvetica;Arial;sans-serif"/>
          <w:b w:val="false"/>
          <w:i w:val="false"/>
          <w:caps w:val="false"/>
          <w:smallCaps w:val="false"/>
          <w:color w:val="000000"/>
          <w:spacing w:val="-2"/>
          <w:sz w:val="20"/>
        </w:rPr>
        <w:t>.   We may make one or more offerings each year to our employees to purchase shares of our common stock under the ESPP, each of which may consist of one or more purchase periods. Offerings will begin and end on the dates determined by the ESPP administrator, except that no offering will exceed 27 months in duration. Each eligible employee may elect to participate in any offering by submitting an enrollment form by the deadline established by the ESPP administrator.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employee who is a participant in the ESPP may purchase shares by authorizing payroll deductions at a minimum of         % and up to a maximum of         % of such participant’s eligible compensation during an offering period (or such other minimum and maximum as determined by the administrator in advance of an offering). Unless the participating employee has previously withdrawn from the offering, such participant’s accumulated payroll deductions will be used to purchase shares of our common stock on the last day of each purchase period at a price equal to 85% of the fair market value of the shares on the first day or the last day of the purchase period, whichever is lower, provided that no more than the number of shares of common stock determined by dividing $25,000 by the fair market value of our common stock on the first day of such offering period (or such other maximum number of shares as may be established by the administrator) may be purchased by any one employee during any purchase period. Under applicable tax rules, an employee may purchase no more than $25,000 worth of shares of our common stock, valued at the start of the offering period, under the ESPP for each calendar year during which any option granted to the employee is outstanding at any time.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Sale Event.   </w:t>
      </w:r>
      <w:r>
        <w:rPr>
          <w:rFonts w:ascii="Helvetica;Arial;sans-serif" w:hAnsi="Helvetica;Arial;sans-serif"/>
          <w:b w:val="false"/>
          <w:i w:val="false"/>
          <w:caps w:val="false"/>
          <w:smallCaps w:val="false"/>
          <w:color w:val="000000"/>
          <w:spacing w:val="-2"/>
          <w:sz w:val="20"/>
        </w:rPr>
        <w:t xml:space="preserve">In the case of and subject to the consummation of a “sale event” ​(as defined in the ESPP), the administrator of the ESPP, in its discretion, and on such terms and conditions as it deems appropriate, is authorized to take any one or more of the following actions under the ESPP or with respect to any right under the ESPP to facilitate such transactions or events: (i)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 property selected by the administrator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of the ESPP in its sole discretion; (ii) provide that the outstanding options under the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(iii) make adjustments in the number and type of shares of common stock (or other securities or property) subject to outstanding options under the ESPP and/or in terms and conditions of outstanding options and options that may be granted in the future; (iv) provide that the offering with respect to which an option relates will be shortened by setting a new exercise date on which such offering period will end; and (v) provide that all outstanding options shall terminate without being exercised and all amounts in the accounts of participants shall be promptly refunded.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Amendment</w:t>
      </w:r>
      <w:r>
        <w:rPr>
          <w:rFonts w:ascii="Helvetica;Arial;sans-serif" w:hAnsi="Helvetica;Arial;sans-serif"/>
          <w:b w:val="false"/>
          <w:i w:val="false"/>
          <w:caps w:val="false"/>
          <w:smallCaps w:val="false"/>
          <w:color w:val="000000"/>
          <w:spacing w:val="-2"/>
          <w:sz w:val="20"/>
        </w:rPr>
        <w:t>.   The ESPP may be terminated or amended by our board of directors at any time. An amendment that increases the number of shares of our common stock authorized under the ESPP and certain other amendments require the approval of our stockholders.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Senior Executive Cash Incentive Bonus Plan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 2026, our board of directors adopted the Senior Executive Cash Incentive Bonus Plan (the “Bonus Plan”). The Bonus Plan provides for cash bonus payments based upon company and individual performance targets established by our compensation committee. The payment targets will be related to financial and operational measures or objectives with respect to our company, or the corporate performance goals, as well as individual performance objectives. The following summary describes the material terms of the Bonus Plan. This summary is not a complete description of all provisions of the Bonus Plan and is qualified in its entirety by reference to the Bonus Plan, which will be filed as an exhibit to the registration statement of which this prospectus is a part.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compensation committee may select corporate performance goals from among the following: research and development, publication, clinical and/or regulatory milestones;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 common stock; economic value-added; acquisitions, licenses, collaborations or strategic transactions, including government or other third-party grants, asset sales, royalty financings, partnership, collaboration and licensing arrangements, or a combination of these approaches; financing or other capital raising transactions; operating income (loss); return on capital, assets, equity, or investment; stockholder returns; return on sales; gross or net profit levels; productivity; expense efficiency; margins; operating efficiency; customer satisfaction; working capital; earnings (loss) per share of our common stock;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 (A) measured in absolute terms, as compared to any incremental increase, (B) measured in terms of growth, as compared to results of a peer group, (C) measured against the market as a whole, compared to applicable market indices and/or measured on a pre-tax or post-tax basis.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shall be required to be employed by us on the bonus payment date to be eligible to receive a bonus payment under the Bonus Plan. The Bonus Plan also permits the compensation committee to approve additional bonuses to executive officers in its sole discretion.</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DICO"/>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DIRECTOR COMPENSATION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2025 Director Compensation Table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presents the compensation awarded to, earned by, or paid to each person who served as a non-employee member of our board of directors for their services to us during Fiscal Year 2025. Other than as set forth in the table and described more fully below, we did not pay any compensation, make any equity awards or non-equity awards to, or pay any other compensation to any of the members of our board of directors in Fiscal Year 2025 for their services as members of the board of directors. During Fiscal Year 2025, Mr. Orth served as a member of our board of directors but received no additional compensation for his service as a member of our board of directors. The compensation for Fiscal Year 2025 received by Mr. Orth as our President and Chief Executive Officer is presented in the section titled “</w:t>
      </w:r>
      <w:r>
        <w:rPr>
          <w:rFonts w:ascii="Helvetica;Arial;sans-serif" w:hAnsi="Helvetica;Arial;sans-serif"/>
          <w:b w:val="false"/>
          <w:i/>
          <w:caps w:val="false"/>
          <w:smallCaps w:val="false"/>
          <w:color w:val="000000"/>
          <w:spacing w:val="-2"/>
          <w:sz w:val="20"/>
        </w:rPr>
        <w:t>Executive Compensation — 2025 Summary Compensation Table</w:t>
      </w:r>
      <w:r>
        <w:rPr>
          <w:rFonts w:ascii="Helvetica;Arial;sans-serif" w:hAnsi="Helvetica;Arial;sans-serif"/>
          <w:b w:val="false"/>
          <w:i w:val="false"/>
          <w:caps w:val="false"/>
          <w:smallCaps w:val="false"/>
          <w:color w:val="000000"/>
          <w:spacing w:val="-2"/>
          <w:sz w:val="20"/>
        </w:rPr>
        <w:t>” above.</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2" w:type="dxa"/>
          <w:right w:w="0" w:type="dxa"/>
        </w:tblCellMar>
      </w:tblPr>
      <w:tblGrid>
        <w:gridCol w:w="3492"/>
        <w:gridCol w:w="109"/>
        <w:gridCol w:w="109"/>
        <w:gridCol w:w="137"/>
        <w:gridCol w:w="137"/>
        <w:gridCol w:w="1117"/>
        <w:gridCol w:w="137"/>
        <w:gridCol w:w="109"/>
        <w:gridCol w:w="109"/>
        <w:gridCol w:w="124"/>
        <w:gridCol w:w="124"/>
        <w:gridCol w:w="1216"/>
        <w:gridCol w:w="124"/>
        <w:gridCol w:w="109"/>
        <w:gridCol w:w="109"/>
        <w:gridCol w:w="109"/>
        <w:gridCol w:w="109"/>
        <w:gridCol w:w="1066"/>
        <w:gridCol w:w="109"/>
        <w:gridCol w:w="157"/>
      </w:tblGrid>
      <w:tr>
        <w:trPr/>
        <w:tc>
          <w:tcPr>
            <w:tcW w:w="3492"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8" w:type="dxa"/>
            <w:gridSpan w:val="4"/>
            <w:tcBorders>
              <w:bottom w:val="single" w:sz="2" w:space="0" w:color="000000"/>
            </w:tcBorders>
            <w:vAlign w:val="center"/>
          </w:tcPr>
          <w:p>
            <w:pPr>
              <w:pStyle w:val="TableContents"/>
              <w:bidi w:val="0"/>
              <w:spacing w:lineRule="atLeast" w:line="142" w:before="0" w:after="0"/>
              <w:jc w:val="center"/>
              <w:rPr/>
            </w:pPr>
            <w:r>
              <w:rPr>
                <w:spacing w:val="-2"/>
              </w:rPr>
              <w:t xml:space="preserve">Fees Earned or </w:t>
            </w:r>
            <w:r>
              <w:rPr/>
              <w:br/>
            </w:r>
            <w:r>
              <w:rPr>
                <w:spacing w:val="-2"/>
              </w:rPr>
              <w:t xml:space="preserve">Paid in Cash </w:t>
            </w:r>
            <w:r>
              <w:rPr/>
              <w:br/>
            </w:r>
            <w:r>
              <w:rPr>
                <w:spacing w:val="-2"/>
              </w:rPr>
              <w:t>($)</w:t>
            </w:r>
            <w:r>
              <w:rPr>
                <w:spacing w:val="-2"/>
                <w:sz w:val="13"/>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gridSpan w:val="4"/>
            <w:tcBorders>
              <w:bottom w:val="single" w:sz="2" w:space="0" w:color="000000"/>
            </w:tcBorders>
            <w:vAlign w:val="center"/>
          </w:tcPr>
          <w:p>
            <w:pPr>
              <w:pStyle w:val="TableContents"/>
              <w:bidi w:val="0"/>
              <w:spacing w:lineRule="atLeast" w:line="142" w:before="0" w:after="0"/>
              <w:jc w:val="center"/>
              <w:rPr/>
            </w:pPr>
            <w:r>
              <w:rPr>
                <w:spacing w:val="-2"/>
              </w:rPr>
              <w:t xml:space="preserve">Option Awards </w:t>
            </w:r>
            <w:r>
              <w:rPr/>
              <w:br/>
            </w:r>
            <w:r>
              <w:rPr>
                <w:spacing w:val="-2"/>
              </w:rPr>
              <w:t>($)</w:t>
            </w:r>
            <w:r>
              <w:rPr>
                <w:spacing w:val="-2"/>
                <w:sz w:val="13"/>
              </w:rPr>
              <w:t>(2)(3)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2"/>
              </w:rPr>
              <w:t xml:space="preserve">Total </w:t>
            </w:r>
            <w:r>
              <w:rPr/>
              <w:br/>
            </w:r>
            <w:r>
              <w:rPr>
                <w:spacing w:val="-2"/>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92" w:type="dxa"/>
            <w:tcBorders/>
            <w:shd w:fill="CCEEFF" w:val="clear"/>
            <w:tcMar>
              <w:bottom w:w="0" w:type="dxa"/>
            </w:tcMar>
            <w:vAlign w:val="center"/>
          </w:tcPr>
          <w:p>
            <w:pPr>
              <w:pStyle w:val="TableContents"/>
              <w:bidi w:val="0"/>
              <w:spacing w:before="0" w:after="0"/>
              <w:jc w:val="left"/>
              <w:rPr>
                <w:spacing w:val="-2"/>
              </w:rPr>
            </w:pPr>
            <w:r>
              <w:rPr>
                <w:spacing w:val="-2"/>
              </w:rPr>
              <w:t xml:space="preserve">John Maraganore,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117" w:type="dxa"/>
            <w:tcBorders/>
            <w:shd w:fill="CCEEFF" w:val="clear"/>
            <w:tcMar>
              <w:bottom w:w="0" w:type="dxa"/>
            </w:tcMar>
            <w:vAlign w:val="center"/>
          </w:tcPr>
          <w:p>
            <w:pPr>
              <w:pStyle w:val="TableContents"/>
              <w:bidi w:val="0"/>
              <w:spacing w:before="0" w:after="283"/>
              <w:jc w:val="right"/>
              <w:rPr/>
            </w:pPr>
            <w:r>
              <w:rPr/>
              <w:t>200,000</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2,325,602</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2,525,602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492" w:type="dxa"/>
            <w:tcBorders/>
            <w:tcMar>
              <w:bottom w:w="0" w:type="dxa"/>
            </w:tcMar>
            <w:vAlign w:val="center"/>
          </w:tcPr>
          <w:p>
            <w:pPr>
              <w:pStyle w:val="TableContents"/>
              <w:bidi w:val="0"/>
              <w:spacing w:before="0" w:after="0"/>
              <w:jc w:val="left"/>
              <w:rPr>
                <w:spacing w:val="-2"/>
              </w:rPr>
            </w:pPr>
            <w:r>
              <w:rPr>
                <w:spacing w:val="-2"/>
              </w:rPr>
              <w:t xml:space="preserve">Barry Greene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117" w:type="dxa"/>
            <w:tcBorders/>
            <w:tcMar>
              <w:bottom w:w="0" w:type="dxa"/>
            </w:tcMar>
            <w:vAlign w:val="center"/>
          </w:tcPr>
          <w:p>
            <w:pPr>
              <w:pStyle w:val="TableContents"/>
              <w:bidi w:val="0"/>
              <w:spacing w:before="0" w:after="283"/>
              <w:jc w:val="right"/>
              <w:rPr/>
            </w:pPr>
            <w:r>
              <w:rPr/>
              <w:t>50,000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205,026</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255,026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492" w:type="dxa"/>
            <w:tcBorders/>
            <w:shd w:fill="CCEEFF" w:val="clear"/>
            <w:tcMar>
              <w:bottom w:w="0" w:type="dxa"/>
            </w:tcMar>
            <w:vAlign w:val="center"/>
          </w:tcPr>
          <w:p>
            <w:pPr>
              <w:pStyle w:val="TableContents"/>
              <w:bidi w:val="0"/>
              <w:spacing w:before="0" w:after="0"/>
              <w:jc w:val="left"/>
              <w:rPr>
                <w:spacing w:val="-2"/>
              </w:rPr>
            </w:pPr>
            <w:r>
              <w:rPr>
                <w:spacing w:val="-2"/>
              </w:rPr>
              <w:t xml:space="preserve">Robert Nelsen, M.B.A.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1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492" w:type="dxa"/>
            <w:tcBorders/>
            <w:tcMar>
              <w:bottom w:w="0" w:type="dxa"/>
            </w:tcMar>
            <w:vAlign w:val="center"/>
          </w:tcPr>
          <w:p>
            <w:pPr>
              <w:pStyle w:val="TableContents"/>
              <w:bidi w:val="0"/>
              <w:spacing w:before="0" w:after="0"/>
              <w:jc w:val="left"/>
              <w:rPr/>
            </w:pPr>
            <w:r>
              <w:rPr>
                <w:spacing w:val="-2"/>
              </w:rPr>
              <w:t>Saraswathy (Sara) V. Nochur, Ph.D.</w:t>
            </w:r>
            <w:r>
              <w:rPr>
                <w:spacing w:val="-2"/>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117" w:type="dxa"/>
            <w:tcBorders/>
            <w:tcMar>
              <w:bottom w:w="0" w:type="dxa"/>
            </w:tcMar>
            <w:vAlign w:val="center"/>
          </w:tcPr>
          <w:p>
            <w:pPr>
              <w:pStyle w:val="TableContents"/>
              <w:bidi w:val="0"/>
              <w:spacing w:before="0" w:after="283"/>
              <w:jc w:val="right"/>
              <w:rPr/>
            </w:pPr>
            <w:r>
              <w:rPr/>
              <w:t>49,059</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205,935</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254,994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492" w:type="dxa"/>
            <w:tcBorders/>
            <w:shd w:fill="CCEEFF" w:val="clear"/>
            <w:tcMar>
              <w:bottom w:w="0" w:type="dxa"/>
            </w:tcMar>
            <w:vAlign w:val="center"/>
          </w:tcPr>
          <w:p>
            <w:pPr>
              <w:pStyle w:val="TableContents"/>
              <w:bidi w:val="0"/>
              <w:spacing w:before="0" w:after="0"/>
              <w:jc w:val="left"/>
              <w:rPr>
                <w:spacing w:val="-2"/>
              </w:rPr>
            </w:pPr>
            <w:r>
              <w:rPr>
                <w:spacing w:val="-2"/>
              </w:rPr>
              <w:t xml:space="preserve">Ron Philip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117" w:type="dxa"/>
            <w:tcBorders/>
            <w:shd w:fill="CCEEFF" w:val="clear"/>
            <w:tcMar>
              <w:bottom w:w="0" w:type="dxa"/>
            </w:tcMar>
            <w:vAlign w:val="center"/>
          </w:tcPr>
          <w:p>
            <w:pPr>
              <w:pStyle w:val="TableContents"/>
              <w:bidi w:val="0"/>
              <w:spacing w:before="0" w:after="283"/>
              <w:jc w:val="right"/>
              <w:rPr/>
            </w:pPr>
            <w:r>
              <w:rPr/>
              <w:t>50,000</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205,982</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255,982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6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reported represent the cash fees each director received for their services to our board of directors during Fiscal Year 2025.</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496">
                <wp:simplePos x="0" y="0"/>
                <wp:positionH relativeFrom="column">
                  <wp:align>left</wp:align>
                </wp:positionH>
                <wp:positionV relativeFrom="line">
                  <wp:align>top</wp:align>
                </wp:positionV>
                <wp:extent cx="254000" cy="233680"/>
                <wp:effectExtent l="0" t="0" r="0" b="0"/>
                <wp:wrapSquare wrapText="right"/>
                <wp:docPr id="494" name="Frame47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reported represent the aggregate grant date fair value of stock option awards granted to our directors in Fiscal Year 2025, computed in accordance with FASB ASC Topic 718. Such grant date fair values do not take into account any estimated forfeitures related to service-based vesting. The assumptions used in calculating the grant date fair values of the option awards reported in this column are set forth in Note 12 of our consolidated financial statements for Fiscal Year 2025, included elsewhere in this prospectus. The amounts reported in this column reflect the accounting cost for these option awards and do not correspond to the actual economic value that may be received by our directors upon the exercise of the option awards or any sale of the underlying securities.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97">
                <wp:simplePos x="0" y="0"/>
                <wp:positionH relativeFrom="column">
                  <wp:align>left</wp:align>
                </wp:positionH>
                <wp:positionV relativeFrom="line">
                  <wp:align>top</wp:align>
                </wp:positionV>
                <wp:extent cx="254000" cy="233680"/>
                <wp:effectExtent l="0" t="0" r="0" b="0"/>
                <wp:wrapSquare wrapText="right"/>
                <wp:docPr id="495" name="Frame47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As of December 31, 2025, each non-employee director held options to purchase the aggregate number of shares of our common stock as set forth below. As of December 31, 2025, none of the non-employee directors held any unvested stock awards, except that Dr. Maraganore held 742,540 shares of restricted common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98">
                <wp:simplePos x="0" y="0"/>
                <wp:positionH relativeFrom="column">
                  <wp:align>left</wp:align>
                </wp:positionH>
                <wp:positionV relativeFrom="line">
                  <wp:align>top</wp:align>
                </wp:positionV>
                <wp:extent cx="254000" cy="233680"/>
                <wp:effectExtent l="0" t="0" r="0" b="0"/>
                <wp:wrapSquare wrapText="right"/>
                <wp:docPr id="496" name="Frame47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Dr. Nochur was appointed as a director on February 25, 2025. The fees earned by or paid to Dr. Nochur for Fiscal Year 2025 were prorated based on her date of appointment.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499">
                <wp:simplePos x="0" y="0"/>
                <wp:positionH relativeFrom="column">
                  <wp:align>left</wp:align>
                </wp:positionH>
                <wp:positionV relativeFrom="line">
                  <wp:align>top</wp:align>
                </wp:positionV>
                <wp:extent cx="254000" cy="233680"/>
                <wp:effectExtent l="0" t="0" r="0" b="0"/>
                <wp:wrapSquare wrapText="right"/>
                <wp:docPr id="497" name="Frame47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5891" w:type="dxa"/>
        <w:jc w:val="left"/>
        <w:tblInd w:w="1393" w:type="dxa"/>
        <w:tblLayout w:type="fixed"/>
        <w:tblCellMar>
          <w:top w:w="0" w:type="dxa"/>
          <w:left w:w="0" w:type="dxa"/>
          <w:bottom w:w="42" w:type="dxa"/>
          <w:right w:w="0" w:type="dxa"/>
        </w:tblCellMar>
      </w:tblPr>
      <w:tblGrid>
        <w:gridCol w:w="3611"/>
        <w:gridCol w:w="109"/>
        <w:gridCol w:w="109"/>
        <w:gridCol w:w="189"/>
        <w:gridCol w:w="189"/>
        <w:gridCol w:w="1337"/>
        <w:gridCol w:w="193"/>
        <w:gridCol w:w="154"/>
      </w:tblGrid>
      <w:tr>
        <w:trPr/>
        <w:tc>
          <w:tcPr>
            <w:tcW w:w="3611"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08" w:type="dxa"/>
            <w:gridSpan w:val="4"/>
            <w:tcBorders>
              <w:bottom w:val="single" w:sz="2" w:space="0" w:color="000000"/>
            </w:tcBorders>
            <w:vAlign w:val="center"/>
          </w:tcPr>
          <w:p>
            <w:pPr>
              <w:pStyle w:val="TableContents"/>
              <w:bidi w:val="0"/>
              <w:spacing w:before="0" w:after="0"/>
              <w:jc w:val="center"/>
              <w:rPr/>
            </w:pPr>
            <w:r>
              <w:rPr>
                <w:spacing w:val="-2"/>
              </w:rPr>
              <w:t xml:space="preserve">Shares Underlying </w:t>
            </w:r>
            <w:r>
              <w:rPr/>
              <w:br/>
            </w:r>
            <w:r>
              <w:rPr>
                <w:spacing w:val="-2"/>
              </w:rPr>
              <w:t>Outstanding</w:t>
            </w:r>
            <w:r>
              <w:rPr/>
              <w:t xml:space="preserve"> </w:t>
              <w:br/>
            </w:r>
            <w:r>
              <w:rPr>
                <w:spacing w:val="-2"/>
              </w:rPr>
              <w:t xml:space="preserve">Option Awards </w:t>
            </w:r>
            <w:r>
              <w:rPr/>
              <w:br/>
            </w:r>
            <w:r>
              <w:rPr>
                <w:spacing w:val="-2"/>
              </w:rPr>
              <w:t xml:space="preserve">at Fiscal Year-End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0"/>
              <w:jc w:val="left"/>
              <w:rPr>
                <w:spacing w:val="-2"/>
              </w:rPr>
            </w:pPr>
            <w:r>
              <w:rPr>
                <w:spacing w:val="-2"/>
              </w:rPr>
              <w:t xml:space="preserve">John Maraganore,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337" w:type="dxa"/>
            <w:tcBorders/>
            <w:shd w:fill="CCEEFF" w:val="clear"/>
            <w:tcMar>
              <w:bottom w:w="0" w:type="dxa"/>
            </w:tcMar>
            <w:vAlign w:val="center"/>
          </w:tcPr>
          <w:p>
            <w:pPr>
              <w:pStyle w:val="TableContents"/>
              <w:bidi w:val="0"/>
              <w:spacing w:before="0" w:after="283"/>
              <w:jc w:val="righ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1" w:type="dxa"/>
            <w:tcBorders/>
            <w:tcMar>
              <w:bottom w:w="0" w:type="dxa"/>
            </w:tcMar>
            <w:vAlign w:val="center"/>
          </w:tcPr>
          <w:p>
            <w:pPr>
              <w:pStyle w:val="TableContents"/>
              <w:bidi w:val="0"/>
              <w:spacing w:before="0" w:after="0"/>
              <w:jc w:val="left"/>
              <w:rPr>
                <w:spacing w:val="-2"/>
              </w:rPr>
            </w:pPr>
            <w:r>
              <w:rPr>
                <w:spacing w:val="-2"/>
              </w:rPr>
              <w:t xml:space="preserve">Barry Greene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337" w:type="dxa"/>
            <w:tcBorders/>
            <w:tcMar>
              <w:bottom w:w="0" w:type="dxa"/>
            </w:tcMar>
            <w:vAlign w:val="center"/>
          </w:tcPr>
          <w:p>
            <w:pPr>
              <w:pStyle w:val="TableContents"/>
              <w:bidi w:val="0"/>
              <w:spacing w:before="0" w:after="283"/>
              <w:jc w:val="right"/>
              <w:rPr/>
            </w:pPr>
            <w:r>
              <w:rPr/>
              <w:t>54,519</w:t>
            </w:r>
          </w:p>
        </w:tc>
        <w:tc>
          <w:tcPr>
            <w:tcW w:w="19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0"/>
              <w:jc w:val="left"/>
              <w:rPr>
                <w:spacing w:val="-2"/>
              </w:rPr>
            </w:pPr>
            <w:r>
              <w:rPr>
                <w:spacing w:val="-2"/>
              </w:rPr>
              <w:t xml:space="preserve">Robert Nelsen, M.B.A.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337" w:type="dxa"/>
            <w:tcBorders/>
            <w:shd w:fill="CCEEFF" w:val="clear"/>
            <w:tcMar>
              <w:bottom w:w="0" w:type="dxa"/>
            </w:tcMar>
            <w:vAlign w:val="center"/>
          </w:tcPr>
          <w:p>
            <w:pPr>
              <w:pStyle w:val="TableContents"/>
              <w:bidi w:val="0"/>
              <w:spacing w:before="0" w:after="283"/>
              <w:jc w:val="righ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1" w:type="dxa"/>
            <w:tcBorders/>
            <w:tcMar>
              <w:bottom w:w="0" w:type="dxa"/>
            </w:tcMar>
            <w:vAlign w:val="center"/>
          </w:tcPr>
          <w:p>
            <w:pPr>
              <w:pStyle w:val="TableContents"/>
              <w:bidi w:val="0"/>
              <w:spacing w:before="0" w:after="0"/>
              <w:jc w:val="left"/>
              <w:rPr>
                <w:spacing w:val="-2"/>
              </w:rPr>
            </w:pPr>
            <w:r>
              <w:rPr>
                <w:spacing w:val="-2"/>
              </w:rPr>
              <w:t xml:space="preserve">Saraswathy (Sara) V. Nochur,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337" w:type="dxa"/>
            <w:tcBorders/>
            <w:tcMar>
              <w:bottom w:w="0" w:type="dxa"/>
            </w:tcMar>
            <w:vAlign w:val="center"/>
          </w:tcPr>
          <w:p>
            <w:pPr>
              <w:pStyle w:val="TableContents"/>
              <w:bidi w:val="0"/>
              <w:spacing w:before="0" w:after="283"/>
              <w:jc w:val="right"/>
              <w:rPr/>
            </w:pPr>
            <w:r>
              <w:rPr/>
              <w:t>54,519</w:t>
            </w:r>
          </w:p>
        </w:tc>
        <w:tc>
          <w:tcPr>
            <w:tcW w:w="19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0"/>
              <w:jc w:val="left"/>
              <w:rPr>
                <w:spacing w:val="-2"/>
              </w:rPr>
            </w:pPr>
            <w:r>
              <w:rPr>
                <w:spacing w:val="-2"/>
              </w:rPr>
              <w:t xml:space="preserve">Ron Philip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337" w:type="dxa"/>
            <w:tcBorders/>
            <w:shd w:fill="CCEEFF" w:val="clear"/>
            <w:tcMar>
              <w:bottom w:w="0" w:type="dxa"/>
            </w:tcMar>
            <w:vAlign w:val="center"/>
          </w:tcPr>
          <w:p>
            <w:pPr>
              <w:pStyle w:val="TableContents"/>
              <w:bidi w:val="0"/>
              <w:spacing w:before="0" w:after="283"/>
              <w:jc w:val="right"/>
              <w:rPr/>
            </w:pPr>
            <w:r>
              <w:rPr/>
              <w:t>54,519</w:t>
            </w:r>
          </w:p>
        </w:tc>
        <w:tc>
          <w:tcPr>
            <w:tcW w:w="19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Consulting Agreement with Dr. Maraganore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August 14, 2023, we entered into a consulting agreement with Dr. Maraganore, pursuant to which Dr. Maraganore provides consulting and advisory services to us. For additional information regarding Dr. Maraganore’s consulting agreement, see “</w:t>
      </w:r>
      <w:r>
        <w:rPr>
          <w:rFonts w:ascii="Helvetica;Arial;sans-serif" w:hAnsi="Helvetica;Arial;sans-serif"/>
          <w:b w:val="false"/>
          <w:i/>
          <w:caps w:val="false"/>
          <w:smallCaps w:val="false"/>
          <w:color w:val="000000"/>
          <w:spacing w:val="-2"/>
          <w:sz w:val="20"/>
        </w:rPr>
        <w:t>Certain Relationships and Related Person Transactions — The Maraganore Consulting Agreement</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105"/>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Non-Employee Director Compensation Policy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connection with this offering, our board of directors intends to adopt a non-employee director compensation policy that will become effective as of the date on which the registration statement of which this prospectus forms a part is declared effective by the SEC. The policy will be designed to enable us to attract and retain, on a long-term basis, highly qualified non-employee directors. Under the policy, each director who is not an employee will be paid cash compensation from and after the completion of this offering, as set forth below:</w:t>
      </w:r>
      <w:r>
        <w:rPr>
          <w:rFonts w:ascii="Helvetica;Arial;sans-serif" w:hAnsi="Helvetica;Arial;sans-serif"/>
          <w:b w:val="false"/>
          <w:i w:val="false"/>
          <w:caps w:val="false"/>
          <w:smallCaps w:val="false"/>
          <w:color w:val="000000"/>
          <w:spacing w:val="4"/>
          <w:sz w:val="20"/>
        </w:rPr>
        <w:t xml:space="preserve"> </w:t>
      </w:r>
    </w:p>
    <w:tbl>
      <w:tblPr>
        <w:tblW w:w="6655" w:type="dxa"/>
        <w:jc w:val="left"/>
        <w:tblInd w:w="1393" w:type="dxa"/>
        <w:tblLayout w:type="fixed"/>
        <w:tblCellMar>
          <w:top w:w="0" w:type="dxa"/>
          <w:left w:w="0" w:type="dxa"/>
          <w:bottom w:w="42" w:type="dxa"/>
          <w:right w:w="0" w:type="dxa"/>
        </w:tblCellMar>
      </w:tblPr>
      <w:tblGrid>
        <w:gridCol w:w="5014"/>
        <w:gridCol w:w="109"/>
        <w:gridCol w:w="109"/>
        <w:gridCol w:w="1269"/>
        <w:gridCol w:w="154"/>
      </w:tblGrid>
      <w:tr>
        <w:trPr/>
        <w:tc>
          <w:tcPr>
            <w:tcW w:w="5014" w:type="dxa"/>
            <w:tcBorders>
              <w:bottom w:val="single" w:sz="2" w:space="0" w:color="000000"/>
            </w:tcBorders>
            <w:vAlign w:val="center"/>
          </w:tcPr>
          <w:p>
            <w:pPr>
              <w:pStyle w:val="TableContents"/>
              <w:bidi w:val="0"/>
              <w:spacing w:before="0" w:after="0"/>
              <w:jc w:val="left"/>
              <w:rPr>
                <w:spacing w:val="-2"/>
              </w:rPr>
            </w:pPr>
            <w:r>
              <w:rPr>
                <w:spacing w:val="-2"/>
              </w:rPr>
              <w:t xml:space="preserve">Board of Directors: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9" w:type="dxa"/>
            <w:tcBorders>
              <w:bottom w:val="single" w:sz="2" w:space="0" w:color="000000"/>
            </w:tcBorders>
            <w:vAlign w:val="center"/>
          </w:tcPr>
          <w:p>
            <w:pPr>
              <w:pStyle w:val="TableContents"/>
              <w:bidi w:val="0"/>
              <w:spacing w:before="0" w:after="0"/>
              <w:jc w:val="center"/>
              <w:rPr/>
            </w:pPr>
            <w:r>
              <w:rPr>
                <w:spacing w:val="-2"/>
              </w:rPr>
              <w:t xml:space="preserve">Annual </w:t>
            </w:r>
            <w:r>
              <w:rPr/>
              <w:br/>
            </w:r>
            <w:r>
              <w:rPr>
                <w:spacing w:val="-2"/>
              </w:rPr>
              <w:t xml:space="preserve">Retainer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Members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Additional retainer for non-executive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Additional retainer for lead independent 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283"/>
              <w:jc w:val="left"/>
              <w:rPr/>
            </w:pPr>
            <w:r>
              <w:rPr>
                <w:spacing w:val="-2"/>
              </w:rPr>
              <w:t>Audit Committee: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Members (other than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Retainer for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283"/>
              <w:jc w:val="left"/>
              <w:rPr/>
            </w:pPr>
            <w:r>
              <w:rPr>
                <w:spacing w:val="-2"/>
              </w:rPr>
              <w:t>Compensation Committee: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Members (other than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Retainer for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283"/>
              <w:jc w:val="left"/>
              <w:rPr/>
            </w:pPr>
            <w:r>
              <w:rPr>
                <w:spacing w:val="-2"/>
              </w:rPr>
              <w:t>Nominating and Corporate Governance Committee: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Members (other than chair)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jc w:val="left"/>
              <w:rPr>
                <w:spacing w:val="-2"/>
              </w:rPr>
            </w:pPr>
            <w:r>
              <w:rPr>
                <w:spacing w:val="-2"/>
              </w:rPr>
              <w:t xml:space="preserve">Retainer for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non-employee director compensation policy provides that, upon initial election to our board of directors, each non-employee director will be granted an initial option award to purchase        shares of our common stock (the “Initial Award”). The Initial Award will vest       , subject to continued service through the applicable vesting date. Furthermore, on the date of each annual meeting of stockholders following the completion of this offering, each non-employee director who continues as a non-employee director following such meeting will be granted an annual option award to purchase       shares of our common stock (the “Annual Award”). The Annual Award will vest on the earlier of the first anniversary of the grant date or the next annual meeting of stockholders, subject to continued service through the applicable vesting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aggregate amount of compensation, including both equity compensation and cash compensation, paid to any non-employee director for service as a non-employee director in a calendar year period will not exceed $      (or $      for the calendar year in which the applicable non-employee director is initially elected or appointed to our board of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reimburse all reasonable out-of-pocket expenses incurred by non-employee directors in attending meetings of the board of directors and committees thereof. Employee directors will receive no additional compensation for their service as a director.</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CRA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CERTAIN RELATIONSHIPS AND RELATED PERSON TRANSACTIONS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the compensation arrangements, including employment, termination of employment and change in control arrangements, and indemnification arrangements discussed, when required, in the sections titled “</w:t>
      </w:r>
      <w:r>
        <w:rPr>
          <w:rFonts w:ascii="Helvetica;Arial;sans-serif" w:hAnsi="Helvetica;Arial;sans-serif"/>
          <w:b w:val="false"/>
          <w:i/>
          <w:caps w:val="false"/>
          <w:smallCaps w:val="false"/>
          <w:color w:val="000000"/>
          <w:spacing w:val="-2"/>
          <w:sz w:val="20"/>
        </w:rPr>
        <w:t>Management</w:t>
      </w:r>
      <w:r>
        <w:rPr>
          <w:rFonts w:ascii="Helvetica;Arial;sans-serif" w:hAnsi="Helvetica;Arial;sans-serif"/>
          <w:b w:val="false"/>
          <w:i w:val="false"/>
          <w:caps w:val="false"/>
          <w:smallCaps w:val="false"/>
          <w:color w:val="000000"/>
          <w:spacing w:val="-2"/>
          <w:sz w:val="20"/>
        </w:rPr>
        <w:t>,” “</w:t>
      </w:r>
      <w:r>
        <w:rPr>
          <w:rFonts w:ascii="Helvetica;Arial;sans-serif" w:hAnsi="Helvetica;Arial;sans-serif"/>
          <w:b w:val="false"/>
          <w:i/>
          <w:caps w:val="false"/>
          <w:smallCaps w:val="false"/>
          <w:color w:val="000000"/>
          <w:spacing w:val="-2"/>
          <w:sz w:val="20"/>
        </w:rPr>
        <w:t>Director Compensation</w:t>
      </w:r>
      <w:r>
        <w:rPr>
          <w:rFonts w:ascii="Helvetica;Arial;sans-serif" w:hAnsi="Helvetica;Arial;sans-serif"/>
          <w:b w:val="false"/>
          <w:i w:val="false"/>
          <w:caps w:val="false"/>
          <w:smallCaps w:val="false"/>
          <w:color w:val="000000"/>
          <w:spacing w:val="-2"/>
          <w:sz w:val="20"/>
        </w:rPr>
        <w:t>” and “</w:t>
      </w:r>
      <w:r>
        <w:rPr>
          <w:rFonts w:ascii="Helvetica;Arial;sans-serif" w:hAnsi="Helvetica;Arial;sans-serif"/>
          <w:b w:val="false"/>
          <w:i/>
          <w:caps w:val="false"/>
          <w:smallCaps w:val="false"/>
          <w:color w:val="000000"/>
          <w:spacing w:val="-2"/>
          <w:sz w:val="20"/>
        </w:rPr>
        <w:t>Executive Compensation</w:t>
      </w:r>
      <w:r>
        <w:rPr>
          <w:rFonts w:ascii="Helvetica;Arial;sans-serif" w:hAnsi="Helvetica;Arial;sans-serif"/>
          <w:b w:val="false"/>
          <w:i w:val="false"/>
          <w:caps w:val="false"/>
          <w:smallCaps w:val="false"/>
          <w:color w:val="000000"/>
          <w:spacing w:val="-2"/>
          <w:sz w:val="20"/>
        </w:rPr>
        <w:t>” and the registration rights described in the section titled “</w:t>
      </w:r>
      <w:r>
        <w:rPr>
          <w:rFonts w:ascii="Helvetica;Arial;sans-serif" w:hAnsi="Helvetica;Arial;sans-serif"/>
          <w:b w:val="false"/>
          <w:i/>
          <w:caps w:val="false"/>
          <w:smallCaps w:val="false"/>
          <w:color w:val="000000"/>
          <w:spacing w:val="-2"/>
          <w:sz w:val="20"/>
        </w:rPr>
        <w:t>Description of Capital Stock — Registration Rights</w:t>
      </w:r>
      <w:r>
        <w:rPr>
          <w:rFonts w:ascii="Helvetica;Arial;sans-serif" w:hAnsi="Helvetica;Arial;sans-serif"/>
          <w:b w:val="false"/>
          <w:i w:val="false"/>
          <w:caps w:val="false"/>
          <w:smallCaps w:val="false"/>
          <w:color w:val="000000"/>
          <w:spacing w:val="-2"/>
          <w:sz w:val="20"/>
        </w:rPr>
        <w:t>,” the following is a description of all transactions since January 1, 2024 and each currently proposed transaction in which:</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been or are to be a participant;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500">
                <wp:simplePos x="0" y="0"/>
                <wp:positionH relativeFrom="column">
                  <wp:align>left</wp:align>
                </wp:positionH>
                <wp:positionV relativeFrom="line">
                  <wp:align>top</wp:align>
                </wp:positionV>
                <wp:extent cx="254000" cy="350520"/>
                <wp:effectExtent l="0" t="0" r="0" b="0"/>
                <wp:wrapSquare wrapText="right"/>
                <wp:docPr id="498" name="Frame4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amounts involved exceeded or will exceed the lesser of $120,000 or 1% of the average of our total assets at the year-end for the last two completed fiscal years;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501">
                <wp:simplePos x="0" y="0"/>
                <wp:positionH relativeFrom="column">
                  <wp:align>left</wp:align>
                </wp:positionH>
                <wp:positionV relativeFrom="line">
                  <wp:align>top</wp:align>
                </wp:positionV>
                <wp:extent cx="254000" cy="350520"/>
                <wp:effectExtent l="0" t="0" r="0" b="0"/>
                <wp:wrapSquare wrapText="right"/>
                <wp:docPr id="499" name="Frame4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of our directors, executive officers or holders of more than 5% or more of our outstanding capital stock, or any immediate family member of, or person sharing the household with, any of these individuals or entities or affiliated entities, had or will have a direct or indirect material interest.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502">
                <wp:simplePos x="0" y="0"/>
                <wp:positionH relativeFrom="column">
                  <wp:align>left</wp:align>
                </wp:positionH>
                <wp:positionV relativeFrom="line">
                  <wp:align>top</wp:align>
                </wp:positionV>
                <wp:extent cx="254000" cy="350520"/>
                <wp:effectExtent l="0" t="0" r="0" b="0"/>
                <wp:wrapSquare wrapText="right"/>
                <wp:docPr id="500" name="Frame4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Convertible Notes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January 5, 2024 and February 15, 2024, we issued two convertible notes with an aggregate principal amount of $0.5 million to John Maraganore, Ph.D., our co-founder, Executive Chair and a holder of more than 5% of our outstanding capital stock, in consideration for consulting services. The notes matured on the earlier of June 30, 2024 or the consummation of a deemed liquidation event. In connection with the closing of our Series A convertible preferred stock financing on April 17, 2024, the convertible notes converted into 56,095 shares of our Series A convertible preferred stock at a conversion price of $9.02655 per share, reflecting a 10% discount to the $10.0295 per share purchase price paid by the new investors in the Series A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January 5, 2024 and February 15, 2024, we issued two convertible notes with an aggregate principal amount of $4.5 million to ARCH Venture Fund XII, L.P., a holder of more than 5% of our outstanding capital stock. In connection with the closing of our Series A convertible preferred stock financing on April 17, 2024, the convertible notes converted into 504,869 shares of our Series A convertible preferred stock at a conversion price of $9.02655 per share, reflecting a 10% discount to the $10.0295 per share purchase price paid by the new investors in the Series A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Series A Convertible Preferred Stock Financing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Between April 17, 2024 and December 30, 2024, we issued and sold an aggregate of 13,435,354 shares of our Series A convertible preferred stock at a purchase price of $10.0295 per share, for an aggregate purchase price of approximately $134.7 million, and issued an aggregate of 560,964 shares of Series A convertible preferred stock upon conversion of outstanding convertible notes.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outstanding shares of Series A convertible preferred stock will convert into shares of our common stock at a rate of one share of common stock immediately prior to the completion of this offering. The following table summarizes the shares of our Series A convertible preferred stock issued to our related parties: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2" w:type="dxa"/>
          <w:right w:w="0" w:type="dxa"/>
        </w:tblCellMar>
      </w:tblPr>
      <w:tblGrid>
        <w:gridCol w:w="2554"/>
        <w:gridCol w:w="109"/>
        <w:gridCol w:w="109"/>
        <w:gridCol w:w="133"/>
        <w:gridCol w:w="133"/>
        <w:gridCol w:w="1309"/>
        <w:gridCol w:w="133"/>
        <w:gridCol w:w="109"/>
        <w:gridCol w:w="109"/>
        <w:gridCol w:w="109"/>
        <w:gridCol w:w="226"/>
        <w:gridCol w:w="1486"/>
        <w:gridCol w:w="109"/>
        <w:gridCol w:w="109"/>
        <w:gridCol w:w="109"/>
        <w:gridCol w:w="109"/>
        <w:gridCol w:w="226"/>
        <w:gridCol w:w="1366"/>
        <w:gridCol w:w="109"/>
        <w:gridCol w:w="156"/>
      </w:tblGrid>
      <w:tr>
        <w:trPr/>
        <w:tc>
          <w:tcPr>
            <w:tcW w:w="2554" w:type="dxa"/>
            <w:tcBorders>
              <w:bottom w:val="single" w:sz="2" w:space="0" w:color="000000"/>
            </w:tcBorders>
            <w:vAlign w:val="center"/>
          </w:tcPr>
          <w:p>
            <w:pPr>
              <w:pStyle w:val="TableContents"/>
              <w:bidi w:val="0"/>
              <w:spacing w:before="0" w:after="0"/>
              <w:jc w:val="left"/>
              <w:rPr>
                <w:spacing w:val="-2"/>
              </w:rPr>
            </w:pPr>
            <w:r>
              <w:rPr>
                <w:spacing w:val="-2"/>
              </w:rPr>
              <w:t xml:space="preserve">Purchasers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08" w:type="dxa"/>
            <w:gridSpan w:val="4"/>
            <w:tcBorders>
              <w:bottom w:val="single" w:sz="2" w:space="0" w:color="000000"/>
            </w:tcBorders>
            <w:vAlign w:val="center"/>
          </w:tcPr>
          <w:p>
            <w:pPr>
              <w:pStyle w:val="TableContents"/>
              <w:bidi w:val="0"/>
              <w:spacing w:before="0" w:after="0"/>
              <w:jc w:val="center"/>
              <w:rPr/>
            </w:pPr>
            <w:r>
              <w:rPr>
                <w:spacing w:val="-2"/>
              </w:rPr>
              <w:t>Shares of Series A</w:t>
            </w:r>
            <w:r>
              <w:rPr/>
              <w:t xml:space="preserve"> </w:t>
              <w:br/>
            </w:r>
            <w:r>
              <w:rPr>
                <w:spacing w:val="-2"/>
              </w:rPr>
              <w:t xml:space="preserve">Convertible </w:t>
            </w:r>
            <w:r>
              <w:rPr/>
              <w:br/>
            </w:r>
            <w:r>
              <w:rPr>
                <w:spacing w:val="-2"/>
              </w:rPr>
              <w:t xml:space="preserve">Preferred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2"/>
              </w:rPr>
              <w:t>Total</w:t>
            </w:r>
            <w:r>
              <w:rPr/>
              <w:t xml:space="preserve"> </w:t>
              <w:br/>
            </w:r>
            <w:r>
              <w:rPr>
                <w:spacing w:val="-2"/>
              </w:rPr>
              <w:t>Purchase</w:t>
            </w:r>
            <w:r>
              <w:rPr/>
              <w:t xml:space="preserve"> </w:t>
              <w:br/>
            </w:r>
            <w:r>
              <w:rPr>
                <w:spacing w:val="-2"/>
              </w:rPr>
              <w:t xml:space="preserve">Price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2"/>
              </w:rPr>
              <w:t xml:space="preserve">Total Convertible </w:t>
            </w:r>
            <w:r>
              <w:rPr/>
              <w:br/>
            </w:r>
            <w:r>
              <w:rPr>
                <w:spacing w:val="-2"/>
              </w:rPr>
              <w:t xml:space="preserve">Note Amount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2"/>
              </w:rPr>
              <w:t>ARCH Venture Fund XII, L.P.</w:t>
            </w:r>
            <w:r>
              <w:rPr>
                <w:spacing w:val="-2"/>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309" w:type="dxa"/>
            <w:tcBorders/>
            <w:shd w:fill="CCEEFF" w:val="clear"/>
            <w:tcMar>
              <w:bottom w:w="0" w:type="dxa"/>
            </w:tcMar>
            <w:vAlign w:val="center"/>
          </w:tcPr>
          <w:p>
            <w:pPr>
              <w:pStyle w:val="TableContents"/>
              <w:bidi w:val="0"/>
              <w:spacing w:before="0" w:after="283"/>
              <w:jc w:val="right"/>
              <w:rPr/>
            </w:pPr>
            <w:r>
              <w:rPr/>
              <w:t>4,991,633</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44,999,999.54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4,557,233.61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2"/>
              </w:rPr>
              <w:t>Invus Public Equities, L.P.</w:t>
            </w:r>
            <w:r>
              <w:rPr>
                <w:spacing w:val="-2"/>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309" w:type="dxa"/>
            <w:tcBorders/>
            <w:tcMar>
              <w:bottom w:w="0" w:type="dxa"/>
            </w:tcMar>
            <w:vAlign w:val="center"/>
          </w:tcPr>
          <w:p>
            <w:pPr>
              <w:pStyle w:val="TableContents"/>
              <w:bidi w:val="0"/>
              <w:spacing w:before="0" w:after="283"/>
              <w:jc w:val="right"/>
              <w:rPr/>
            </w:pPr>
            <w:r>
              <w:rPr/>
              <w:t>2,492,646</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24,999,993.06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2"/>
              </w:rPr>
              <w:t>Entities affiliated with Fidelity</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309" w:type="dxa"/>
            <w:tcBorders/>
            <w:shd w:fill="CCEEFF" w:val="clear"/>
            <w:tcMar>
              <w:bottom w:w="0" w:type="dxa"/>
            </w:tcMar>
            <w:vAlign w:val="center"/>
          </w:tcPr>
          <w:p>
            <w:pPr>
              <w:pStyle w:val="TableContents"/>
              <w:bidi w:val="0"/>
              <w:spacing w:before="0" w:after="283"/>
              <w:jc w:val="right"/>
              <w:rPr/>
            </w:pPr>
            <w:r>
              <w:rPr/>
              <w:t>2,492,646</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24,999,993.07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2"/>
              </w:rPr>
              <w:t>John Maraganore, Ph.D.</w:t>
            </w:r>
            <w:r>
              <w:rPr>
                <w:spacing w:val="-2"/>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309" w:type="dxa"/>
            <w:tcBorders/>
            <w:tcMar>
              <w:bottom w:w="0" w:type="dxa"/>
            </w:tcMar>
            <w:vAlign w:val="center"/>
          </w:tcPr>
          <w:p>
            <w:pPr>
              <w:pStyle w:val="TableContents"/>
              <w:bidi w:val="0"/>
              <w:spacing w:before="0" w:after="283"/>
              <w:jc w:val="right"/>
              <w:rPr/>
            </w:pPr>
            <w:r>
              <w:rPr/>
              <w:t>56,095</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506,359.29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Robert Nelsen serves as a member of our board of directors and is an affiliate of ARCH Venture Partners, of which Venture Fund XII, L.P. is an affiliated fund. Venture Fund XII, L.P. beneficially owns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5090" distB="0" distL="0" distR="0" simplePos="0" locked="0" layoutInCell="1" allowOverlap="1" relativeHeight="503">
                <wp:simplePos x="0" y="0"/>
                <wp:positionH relativeFrom="column">
                  <wp:align>left</wp:align>
                </wp:positionH>
                <wp:positionV relativeFrom="line">
                  <wp:align>top</wp:align>
                </wp:positionV>
                <wp:extent cx="254000" cy="233680"/>
                <wp:effectExtent l="0" t="0" r="0" b="0"/>
                <wp:wrapSquare wrapText="right"/>
                <wp:docPr id="501" name="Frame47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180" w:before="120" w:after="283"/>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Invus Public Equities, L.P. beneficially owns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504">
                <wp:simplePos x="0" y="0"/>
                <wp:positionH relativeFrom="column">
                  <wp:align>left</wp:align>
                </wp:positionH>
                <wp:positionV relativeFrom="line">
                  <wp:posOffset>635</wp:posOffset>
                </wp:positionV>
                <wp:extent cx="254000" cy="233680"/>
                <wp:effectExtent l="0" t="0" r="0" b="0"/>
                <wp:wrapSquare wrapText="right"/>
                <wp:docPr id="502" name="Frame48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Fidelity collectively refers to Fidelity Growth Company Commingled Pool By: Fidelity Management Trust Company, as Trustee; Fidelity Mt. Vernon Street Trust: Fidelity Growth Company Fund; Fidelity Mt. Vernon Street Trust: Fidelity Growth Company K6 Fund; and Fidelity Mt. Vernon Street Trust: Fidelity Series Growth Company Fund. Fidelity beneficially owns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05">
                <wp:simplePos x="0" y="0"/>
                <wp:positionH relativeFrom="column">
                  <wp:align>left</wp:align>
                </wp:positionH>
                <wp:positionV relativeFrom="line">
                  <wp:align>top</wp:align>
                </wp:positionV>
                <wp:extent cx="254000" cy="233680"/>
                <wp:effectExtent l="0" t="0" r="0" b="0"/>
                <wp:wrapSquare wrapText="right"/>
                <wp:docPr id="503" name="Frame48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John Maraganore, Ph.D., is our co-founder and Executive Chair, and holds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06">
                <wp:simplePos x="0" y="0"/>
                <wp:positionH relativeFrom="column">
                  <wp:align>left</wp:align>
                </wp:positionH>
                <wp:positionV relativeFrom="line">
                  <wp:align>top</wp:align>
                </wp:positionV>
                <wp:extent cx="254000" cy="233680"/>
                <wp:effectExtent l="0" t="0" r="0" b="0"/>
                <wp:wrapSquare wrapText="right"/>
                <wp:docPr id="504" name="Frame48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Series B Convertible Preferred Stock Financing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May 20, 2026 and June 4, 2026, we issued and sold an aggregate of 6,801,318 shares of our Series B convertible preferred stock, par value $0.0001 per share, at a purchase price of $14.6295 per share, for an aggregate purchase price of approximately $99.5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outstanding shares of Series B convertible preferred stock will convert into shares of our common stock at a rate of one share of common stock immediately prior to the completion of this offering. The following table summarizes the shares of our Series B convertible preferred stock issued to our related parties:</w:t>
      </w:r>
      <w:r>
        <w:rPr>
          <w:rFonts w:ascii="Helvetica;Arial;sans-serif" w:hAnsi="Helvetica;Arial;sans-serif"/>
          <w:b w:val="false"/>
          <w:i w:val="false"/>
          <w:caps w:val="false"/>
          <w:smallCaps w:val="false"/>
          <w:color w:val="000000"/>
          <w:spacing w:val="4"/>
          <w:sz w:val="20"/>
        </w:rPr>
        <w:t xml:space="preserve"> </w:t>
      </w:r>
    </w:p>
    <w:tbl>
      <w:tblPr>
        <w:tblW w:w="7697" w:type="dxa"/>
        <w:jc w:val="left"/>
        <w:tblInd w:w="1393" w:type="dxa"/>
        <w:tblLayout w:type="fixed"/>
        <w:tblCellMar>
          <w:top w:w="0" w:type="dxa"/>
          <w:left w:w="0" w:type="dxa"/>
          <w:bottom w:w="42" w:type="dxa"/>
          <w:right w:w="0" w:type="dxa"/>
        </w:tblCellMar>
      </w:tblPr>
      <w:tblGrid>
        <w:gridCol w:w="3295"/>
        <w:gridCol w:w="109"/>
        <w:gridCol w:w="109"/>
        <w:gridCol w:w="147"/>
        <w:gridCol w:w="147"/>
        <w:gridCol w:w="1441"/>
        <w:gridCol w:w="147"/>
        <w:gridCol w:w="109"/>
        <w:gridCol w:w="109"/>
        <w:gridCol w:w="109"/>
        <w:gridCol w:w="226"/>
        <w:gridCol w:w="1486"/>
        <w:gridCol w:w="109"/>
        <w:gridCol w:w="154"/>
      </w:tblGrid>
      <w:tr>
        <w:trPr/>
        <w:tc>
          <w:tcPr>
            <w:tcW w:w="3295" w:type="dxa"/>
            <w:tcBorders>
              <w:bottom w:val="single" w:sz="2" w:space="0" w:color="000000"/>
            </w:tcBorders>
            <w:vAlign w:val="center"/>
          </w:tcPr>
          <w:p>
            <w:pPr>
              <w:pStyle w:val="TableContents"/>
              <w:bidi w:val="0"/>
              <w:spacing w:before="0" w:after="0"/>
              <w:jc w:val="left"/>
              <w:rPr>
                <w:spacing w:val="-2"/>
              </w:rPr>
            </w:pPr>
            <w:r>
              <w:rPr>
                <w:spacing w:val="-2"/>
              </w:rPr>
              <w:t xml:space="preserve">Purchasers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82" w:type="dxa"/>
            <w:gridSpan w:val="4"/>
            <w:tcBorders>
              <w:bottom w:val="single" w:sz="2" w:space="0" w:color="000000"/>
            </w:tcBorders>
            <w:vAlign w:val="center"/>
          </w:tcPr>
          <w:p>
            <w:pPr>
              <w:pStyle w:val="TableContents"/>
              <w:bidi w:val="0"/>
              <w:spacing w:before="0" w:after="0"/>
              <w:jc w:val="center"/>
              <w:rPr/>
            </w:pPr>
            <w:r>
              <w:rPr>
                <w:spacing w:val="-2"/>
              </w:rPr>
              <w:t xml:space="preserve">Shares of Series B </w:t>
            </w:r>
            <w:r>
              <w:rPr/>
              <w:br/>
            </w:r>
            <w:r>
              <w:rPr>
                <w:spacing w:val="-2"/>
              </w:rPr>
              <w:t>Convertible</w:t>
            </w:r>
            <w:r>
              <w:rPr/>
              <w:t xml:space="preserve"> </w:t>
              <w:br/>
            </w:r>
            <w:r>
              <w:rPr>
                <w:spacing w:val="-2"/>
              </w:rPr>
              <w:t xml:space="preserve">Preferred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2"/>
              </w:rPr>
              <w:t xml:space="preserve">Total Purchase </w:t>
            </w:r>
            <w:r>
              <w:rPr/>
              <w:br/>
            </w:r>
            <w:r>
              <w:rPr>
                <w:spacing w:val="-2"/>
              </w:rPr>
              <w:t xml:space="preserve">Price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95" w:type="dxa"/>
            <w:tcBorders/>
            <w:shd w:fill="CCEEFF" w:val="clear"/>
            <w:tcMar>
              <w:bottom w:w="0" w:type="dxa"/>
            </w:tcMar>
            <w:vAlign w:val="center"/>
          </w:tcPr>
          <w:p>
            <w:pPr>
              <w:pStyle w:val="TableContents"/>
              <w:bidi w:val="0"/>
              <w:spacing w:before="0" w:after="0"/>
              <w:jc w:val="left"/>
              <w:rPr/>
            </w:pPr>
            <w:r>
              <w:rPr>
                <w:spacing w:val="-2"/>
              </w:rPr>
              <w:t>ARCH Venture Fund XII, L.P.</w:t>
            </w:r>
            <w:r>
              <w:rPr>
                <w:spacing w:val="-2"/>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441" w:type="dxa"/>
            <w:tcBorders/>
            <w:shd w:fill="CCEEFF" w:val="clear"/>
            <w:tcMar>
              <w:bottom w:w="0" w:type="dxa"/>
            </w:tcMar>
            <w:vAlign w:val="center"/>
          </w:tcPr>
          <w:p>
            <w:pPr>
              <w:pStyle w:val="TableContents"/>
              <w:bidi w:val="0"/>
              <w:spacing w:before="0" w:after="283"/>
              <w:jc w:val="right"/>
              <w:rPr/>
            </w:pPr>
            <w:r>
              <w:rPr/>
              <w:t>1,845,585</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26,999,985.76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95" w:type="dxa"/>
            <w:tcBorders/>
            <w:tcMar>
              <w:bottom w:w="0" w:type="dxa"/>
            </w:tcMar>
            <w:vAlign w:val="center"/>
          </w:tcPr>
          <w:p>
            <w:pPr>
              <w:pStyle w:val="TableContents"/>
              <w:bidi w:val="0"/>
              <w:spacing w:before="0" w:after="0"/>
              <w:jc w:val="left"/>
              <w:rPr/>
            </w:pPr>
            <w:r>
              <w:rPr>
                <w:spacing w:val="-2"/>
              </w:rPr>
              <w:t>Invus Public Equities, L.P.</w:t>
            </w:r>
            <w:r>
              <w:rPr>
                <w:spacing w:val="-2"/>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1441" w:type="dxa"/>
            <w:tcBorders/>
            <w:tcMar>
              <w:bottom w:w="0" w:type="dxa"/>
            </w:tcMar>
            <w:vAlign w:val="center"/>
          </w:tcPr>
          <w:p>
            <w:pPr>
              <w:pStyle w:val="TableContents"/>
              <w:bidi w:val="0"/>
              <w:spacing w:before="0" w:after="283"/>
              <w:jc w:val="right"/>
              <w:rPr/>
            </w:pPr>
            <w:r>
              <w:rPr/>
              <w:t>446,320</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6,529,438.44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95" w:type="dxa"/>
            <w:tcBorders/>
            <w:shd w:fill="CCEEFF" w:val="clear"/>
            <w:tcMar>
              <w:bottom w:w="0" w:type="dxa"/>
            </w:tcMar>
            <w:vAlign w:val="center"/>
          </w:tcPr>
          <w:p>
            <w:pPr>
              <w:pStyle w:val="TableContents"/>
              <w:bidi w:val="0"/>
              <w:spacing w:before="0" w:after="0"/>
              <w:jc w:val="left"/>
              <w:rPr/>
            </w:pPr>
            <w:r>
              <w:rPr>
                <w:spacing w:val="-2"/>
              </w:rPr>
              <w:t>Entities affiliated with Fidelity</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441" w:type="dxa"/>
            <w:tcBorders/>
            <w:shd w:fill="CCEEFF" w:val="clear"/>
            <w:tcMar>
              <w:bottom w:w="0" w:type="dxa"/>
            </w:tcMar>
            <w:vAlign w:val="center"/>
          </w:tcPr>
          <w:p>
            <w:pPr>
              <w:pStyle w:val="TableContents"/>
              <w:bidi w:val="0"/>
              <w:spacing w:before="0" w:after="283"/>
              <w:jc w:val="right"/>
              <w:rPr/>
            </w:pPr>
            <w:r>
              <w:rPr/>
              <w:t>1,025,325</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14,999,992.09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Robert Nelsen serves as a member of our board of directors and is an affiliate of ARCH Venture Partners, of which Venture Fund XII, L.P. is an affiliated fund. Venture Fund XII, L.P. beneficially owns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8900" distB="0" distL="0" distR="0" simplePos="0" locked="0" layoutInCell="1" allowOverlap="1" relativeHeight="507">
                <wp:simplePos x="0" y="0"/>
                <wp:positionH relativeFrom="column">
                  <wp:align>left</wp:align>
                </wp:positionH>
                <wp:positionV relativeFrom="line">
                  <wp:align>top</wp:align>
                </wp:positionV>
                <wp:extent cx="254000" cy="233680"/>
                <wp:effectExtent l="0" t="0" r="0" b="0"/>
                <wp:wrapSquare wrapText="right"/>
                <wp:docPr id="505" name="Frame48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Invus Public Equities, L.P. beneficially owns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08">
                <wp:simplePos x="0" y="0"/>
                <wp:positionH relativeFrom="column">
                  <wp:align>left</wp:align>
                </wp:positionH>
                <wp:positionV relativeFrom="line">
                  <wp:align>top</wp:align>
                </wp:positionV>
                <wp:extent cx="254000" cy="233680"/>
                <wp:effectExtent l="0" t="0" r="0" b="0"/>
                <wp:wrapSquare wrapText="right"/>
                <wp:docPr id="506" name="Frame48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Fidelity collectively refers to Fidelity Advisor Series VII: Fidelity Advisor Biotechnology Fund; Fidelity Mt. Vernon Street Trust: Fidelity Growth Company Fund; Fidelity Mt. Vernon Street Trust: Fidelity Growth Company K6 Fund; Fidelity Mt. Vernon Street Trust: Fidelity Series Growth Company Fund; Fidelity Select Portfolios: Biotechnology Portfolio and Fidelity Growth Company Commingled Pool. Fidelity beneficially owns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09">
                <wp:simplePos x="0" y="0"/>
                <wp:positionH relativeFrom="column">
                  <wp:align>left</wp:align>
                </wp:positionH>
                <wp:positionV relativeFrom="line">
                  <wp:align>top</wp:align>
                </wp:positionV>
                <wp:extent cx="254000" cy="233680"/>
                <wp:effectExtent l="0" t="0" r="0" b="0"/>
                <wp:wrapSquare wrapText="right"/>
                <wp:docPr id="507" name="Frame48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Maraganore Consulting Agreement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August 14, 2023, we entered into a consulting agreement (the “Maraganore Consulting Agreement”) with Dr. Maraganore, pursuant to which we granted Dr. Maraganore 750,000 shares of our common stock at the fair market value per share on the grant date, subject to certain vesting conditions. Under the Maraganore Consulting Agreement, Dr. Maraganore provides certain strategic advisory services to the Company. The Maraganore Consulting Agreement remains in effect unless earlier terminated or extended by the parties. In connection with the completion of this offering, we intend to terminate the Maraganore Consulting Agreement. Dr. Maraganore will continue to serve as the Executive Chair of our board of directors. Following the termination of the Maraganore Consulting Agreement, Dr. Maraganore will be eligible to receive compensation for his role as Executive Chair of our board of directors pursuant to our non-employee director compensation policy, which will become effective upon the effectiveness of the registration statement of which this prospectus forms a part. See “</w:t>
      </w:r>
      <w:r>
        <w:rPr>
          <w:rFonts w:ascii="Helvetica;Arial;sans-serif" w:hAnsi="Helvetica;Arial;sans-serif"/>
          <w:b w:val="false"/>
          <w:i/>
          <w:caps w:val="false"/>
          <w:smallCaps w:val="false"/>
          <w:color w:val="000000"/>
          <w:spacing w:val="-2"/>
          <w:sz w:val="20"/>
        </w:rPr>
        <w:t>Executive Compensation — Consulting Agreement with Dr. Maraganore</w:t>
      </w:r>
      <w:r>
        <w:rPr>
          <w:rFonts w:ascii="Helvetica;Arial;sans-serif" w:hAnsi="Helvetica;Arial;sans-serif"/>
          <w:b w:val="false"/>
          <w:i w:val="false"/>
          <w:caps w:val="false"/>
          <w:smallCaps w:val="false"/>
          <w:color w:val="000000"/>
          <w:spacing w:val="-2"/>
          <w:sz w:val="20"/>
        </w:rPr>
        <w:t>.” During the years ended December 31, 2024 and 2025, we paid Dr. Maraganore approximately $0.2 million and $0.2 million, respectively, for consulting services provided under the Maraganore Consulting Agreement.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Management Rights and Side Letters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connection with our convertible preferred stock financings, we entered into management rights and side letters with certain purchasers of our convertible preferred stock, including holders of more than 5% of our capital stock and entities with which certain of our directors are affiliated, pursuant to which such entities were granted certain management rights, among other things, including the right to consult with and advise our management on significant business issues, review our operating plans, examine our books, and records and inspect our facilities. Except for certain confidentiality obligations,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publicity restrictions, and market standoff provisions, the rights under these management rights and side letters will terminate immediately prior to the completion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Agreements with our Stockholders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connection with our convertible preferred stock financings, we entered into an investors’ rights agreement, a right of first refusal and co-sale agreement, and voting agreement, in each case, with the purchasers of our convertible preferred stock. Our amended and restated right of first refusal and co-sale agreement (“ROFR Agreement”) provides for rights of first refusal and co-sale and drag along rights in respect of sales by certain holders of our capital stock. Our amended and restated voting agreement, as amended (“Voting Agreement”), contains provisions with respect to the election of our board of directors and its composition. The rights under each of the ROFR Agreement and Voting Agreement will terminate upon the closing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investors’ rights agreement (“Investor Rights Agreement”) provides certain holders of our convertible preferred stock with a participation right to purchase their pro rata share of new securities that we may propose to sell and issue, subject to certain exceptions. Such participation right will terminate upon the closing of this offering. The Investor Rights Agreement further provides certain holders of our capital stock with the right to demand that we file a registration statement, subject to certain limitations, and to request that their shares be covered by a registration statement that we are otherwise filing. See the section titled “</w:t>
      </w:r>
      <w:r>
        <w:rPr>
          <w:rFonts w:ascii="Helvetica;Arial;sans-serif" w:hAnsi="Helvetica;Arial;sans-serif"/>
          <w:b w:val="false"/>
          <w:i/>
          <w:caps w:val="false"/>
          <w:smallCaps w:val="false"/>
          <w:color w:val="000000"/>
          <w:spacing w:val="-2"/>
          <w:sz w:val="20"/>
        </w:rPr>
        <w:t>Description of Capital Stock — Registration Rights</w:t>
      </w:r>
      <w:r>
        <w:rPr>
          <w:rFonts w:ascii="Helvetica;Arial;sans-serif" w:hAnsi="Helvetica;Arial;sans-serif"/>
          <w:b w:val="false"/>
          <w:i w:val="false"/>
          <w:caps w:val="false"/>
          <w:smallCaps w:val="false"/>
          <w:color w:val="000000"/>
          <w:spacing w:val="-2"/>
          <w:sz w:val="20"/>
        </w:rPr>
        <w:t>” appearing elsewhere in this prospectus, for additional information regarding such registration rights.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Employment Arrangements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entered into offer letter agreements with certain of our executive officers and granted stock options to our executive officers, as more fully described in the section titled “</w:t>
      </w:r>
      <w:r>
        <w:rPr>
          <w:rFonts w:ascii="Helvetica;Arial;sans-serif" w:hAnsi="Helvetica;Arial;sans-serif"/>
          <w:b w:val="false"/>
          <w:i/>
          <w:caps w:val="false"/>
          <w:smallCaps w:val="false"/>
          <w:color w:val="000000"/>
          <w:spacing w:val="-2"/>
          <w:sz w:val="20"/>
        </w:rPr>
        <w:t>Executive Compensation</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Equity Grants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granted stock options to purchase our shares of common stock to certain of our executive officers and directors. For more information regarding the stock options granted to our executive officers and directors, see the sections titled “</w:t>
      </w:r>
      <w:r>
        <w:rPr>
          <w:rFonts w:ascii="Helvetica;Arial;sans-serif" w:hAnsi="Helvetica;Arial;sans-serif"/>
          <w:b w:val="false"/>
          <w:i/>
          <w:caps w:val="false"/>
          <w:smallCaps w:val="false"/>
          <w:color w:val="000000"/>
          <w:spacing w:val="-2"/>
          <w:sz w:val="20"/>
        </w:rPr>
        <w:t>Executive Compensation</w:t>
      </w:r>
      <w:r>
        <w:rPr>
          <w:rFonts w:ascii="Helvetica;Arial;sans-serif" w:hAnsi="Helvetica;Arial;sans-serif"/>
          <w:b w:val="false"/>
          <w:i w:val="false"/>
          <w:caps w:val="false"/>
          <w:smallCaps w:val="false"/>
          <w:color w:val="000000"/>
          <w:spacing w:val="-2"/>
          <w:sz w:val="20"/>
        </w:rPr>
        <w:t>” and “</w:t>
      </w:r>
      <w:r>
        <w:rPr>
          <w:rFonts w:ascii="Helvetica;Arial;sans-serif" w:hAnsi="Helvetica;Arial;sans-serif"/>
          <w:b w:val="false"/>
          <w:i/>
          <w:caps w:val="false"/>
          <w:smallCaps w:val="false"/>
          <w:color w:val="000000"/>
          <w:spacing w:val="-2"/>
          <w:sz w:val="20"/>
        </w:rPr>
        <w:t>Director Compensation</w:t>
      </w:r>
      <w:r>
        <w:rPr>
          <w:rFonts w:ascii="Helvetica;Arial;sans-serif" w:hAnsi="Helvetica;Arial;sans-serif"/>
          <w:b w:val="false"/>
          <w:i w:val="false"/>
          <w:caps w:val="false"/>
          <w:smallCaps w:val="false"/>
          <w:color w:val="000000"/>
          <w:spacing w:val="-2"/>
          <w:sz w:val="20"/>
        </w:rPr>
        <w:t>” included elsewhere in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Indemnification Agreements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will contain provisions limiting the liability of directors and officers,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the board of directors. In addition, we have entered into or intend to enter into an indemnification agreement with each of our directors and executive officers, which will require us to indemnify them. For more information regarding these agreements, see the section titled “</w:t>
      </w:r>
      <w:r>
        <w:rPr>
          <w:rFonts w:ascii="Helvetica;Arial;sans-serif" w:hAnsi="Helvetica;Arial;sans-serif"/>
          <w:b w:val="false"/>
          <w:i/>
          <w:caps w:val="false"/>
          <w:smallCaps w:val="false"/>
          <w:color w:val="000000"/>
          <w:spacing w:val="-2"/>
          <w:sz w:val="20"/>
        </w:rPr>
        <w:t>Management — Limitations on Liability and Indemnification</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Policies and Procedures for Transactions with Related Persons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Prior to completion of this offering, we intend to adopt a written policy that our executive officers, directors, nominees for election as a director, beneficial owners of more than 5% of any series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series of our common stock, or any member of the immediate family of any of the foregoing persons, in which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0880"/>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PRST"/>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394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PRINCIPAL STOCKHOLDERS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information regarding beneficial ownership of our capital stock as of        by: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person, or group of affiliated persons, known by us to beneficially own more than 5% of our common stock;</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510">
                <wp:simplePos x="0" y="0"/>
                <wp:positionH relativeFrom="column">
                  <wp:align>left</wp:align>
                </wp:positionH>
                <wp:positionV relativeFrom="line">
                  <wp:align>top</wp:align>
                </wp:positionV>
                <wp:extent cx="254000" cy="350520"/>
                <wp:effectExtent l="0" t="0" r="0" b="0"/>
                <wp:wrapSquare wrapText="right"/>
                <wp:docPr id="508" name="Frame4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of our directors and director nominees;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511">
                <wp:simplePos x="0" y="0"/>
                <wp:positionH relativeFrom="column">
                  <wp:align>left</wp:align>
                </wp:positionH>
                <wp:positionV relativeFrom="line">
                  <wp:align>top</wp:align>
                </wp:positionV>
                <wp:extent cx="254000" cy="350520"/>
                <wp:effectExtent l="0" t="0" r="0" b="0"/>
                <wp:wrapSquare wrapText="right"/>
                <wp:docPr id="509" name="Frame4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of our named executive officers;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512">
                <wp:simplePos x="0" y="0"/>
                <wp:positionH relativeFrom="column">
                  <wp:align>left</wp:align>
                </wp:positionH>
                <wp:positionV relativeFrom="line">
                  <wp:align>top</wp:align>
                </wp:positionV>
                <wp:extent cx="254000" cy="350520"/>
                <wp:effectExtent l="0" t="0" r="0" b="0"/>
                <wp:wrapSquare wrapText="right"/>
                <wp:docPr id="510" name="Frame4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of our current executive officers and directors as a group.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513">
                <wp:simplePos x="0" y="0"/>
                <wp:positionH relativeFrom="column">
                  <wp:align>left</wp:align>
                </wp:positionH>
                <wp:positionV relativeFrom="line">
                  <wp:align>top</wp:align>
                </wp:positionV>
                <wp:extent cx="254000" cy="350520"/>
                <wp:effectExtent l="0" t="0" r="0" b="0"/>
                <wp:wrapSquare wrapText="right"/>
                <wp:docPr id="511" name="Frame4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determined beneficial ownership in accordance with the rules of the SEC. Under these rules, beneficial ownership includes any shares of common stock as to which the individual or entity has sole or shared voting power or investment power.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 to be outstanding and to be beneficially owned by the person holding the option for the purpose of computing the percentage ownership of that person but have not treated them as outstanding for the purpose of computing the percentage ownership of any other person.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Applicable percentage ownership before the offering is based on an aggregate of         shares of common stock (which includes         shares of restricted common stock subject to repurchase or forfeiture) deemed to be outstanding as of         , after giving effect to the automatic conversion of all outstanding shares of convertible preferred stock into shares of common stock immediately prior to the completion of this offering, and assuming an initial public offering price of $       per share, which is the midpoint of the estimated offering price range set forth on the cover page of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Applicable percentage ownership after the offering is based on          shares of common stock assumed to be outstanding immediately after the completion of this offering (including the sale of shares of common stock in this offering and assuming no exercise of the underwriters’ option to purchase additional shares).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Unless otherwise indicated, the address for each beneficial owner listed in the table below is c/o City Therapeutics, Inc., 399 Binney Street, Cambridge, Massachusetts 02142.</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640" w:type="dxa"/>
        <w:jc w:val="left"/>
        <w:tblInd w:w="1393" w:type="dxa"/>
        <w:tblLayout w:type="fixed"/>
        <w:tblCellMar>
          <w:top w:w="0" w:type="dxa"/>
          <w:left w:w="0" w:type="dxa"/>
          <w:bottom w:w="28" w:type="dxa"/>
          <w:right w:w="0" w:type="dxa"/>
        </w:tblCellMar>
      </w:tblPr>
      <w:tblGrid>
        <w:gridCol w:w="4624"/>
        <w:gridCol w:w="109"/>
        <w:gridCol w:w="109"/>
        <w:gridCol w:w="1284"/>
        <w:gridCol w:w="109"/>
        <w:gridCol w:w="109"/>
        <w:gridCol w:w="962"/>
        <w:gridCol w:w="109"/>
        <w:gridCol w:w="109"/>
        <w:gridCol w:w="962"/>
        <w:gridCol w:w="154"/>
      </w:tblGrid>
      <w:tr>
        <w:trPr/>
        <w:tc>
          <w:tcPr>
            <w:tcW w:w="46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84" w:type="dxa"/>
            <w:vMerge w:val="restart"/>
            <w:tcBorders>
              <w:bottom w:val="single" w:sz="2" w:space="0" w:color="000000"/>
            </w:tcBorders>
            <w:tcMar>
              <w:bottom w:w="42" w:type="dxa"/>
            </w:tcMar>
            <w:vAlign w:val="center"/>
          </w:tcPr>
          <w:p>
            <w:pPr>
              <w:pStyle w:val="TableContents"/>
              <w:bidi w:val="0"/>
              <w:spacing w:lineRule="atLeast" w:line="225" w:before="0" w:after="0"/>
              <w:jc w:val="center"/>
              <w:rPr/>
            </w:pPr>
            <w:r>
              <w:rPr>
                <w:spacing w:val="-2"/>
              </w:rPr>
              <w:t>Shares of</w:t>
            </w:r>
            <w:r>
              <w:rPr/>
              <w:t xml:space="preserve"> </w:t>
              <w:br/>
            </w:r>
            <w:r>
              <w:rPr>
                <w:spacing w:val="-2"/>
              </w:rPr>
              <w:t>Common</w:t>
            </w:r>
            <w:r>
              <w:rPr/>
              <w:t xml:space="preserve"> </w:t>
              <w:br/>
            </w:r>
            <w:r>
              <w:rPr>
                <w:spacing w:val="-2"/>
              </w:rPr>
              <w:t>Stock</w:t>
            </w:r>
            <w:r>
              <w:rPr/>
              <w:t xml:space="preserve"> </w:t>
              <w:br/>
            </w:r>
            <w:r>
              <w:rPr>
                <w:spacing w:val="-2"/>
              </w:rPr>
              <w:t>Beneficially</w:t>
            </w:r>
            <w:r>
              <w:rPr/>
              <w:t xml:space="preserve"> </w:t>
              <w:br/>
            </w:r>
            <w:r>
              <w:rPr>
                <w:spacing w:val="-2"/>
              </w:rPr>
              <w:t xml:space="preserve">Owned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4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Percentage of Shares</w:t>
            </w:r>
            <w:r>
              <w:rPr/>
              <w:t xml:space="preserve"> </w:t>
              <w:br/>
            </w:r>
            <w:r>
              <w:rPr>
                <w:spacing w:val="-2"/>
              </w:rPr>
              <w:t xml:space="preserve">Beneficially Owned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24" w:type="dxa"/>
            <w:tcBorders>
              <w:bottom w:val="single" w:sz="2" w:space="0" w:color="000000"/>
            </w:tcBorders>
            <w:tcMar>
              <w:bottom w:w="42" w:type="dxa"/>
            </w:tcMar>
            <w:vAlign w:val="center"/>
          </w:tcPr>
          <w:p>
            <w:pPr>
              <w:pStyle w:val="TableContents"/>
              <w:bidi w:val="0"/>
              <w:spacing w:before="0" w:after="0"/>
              <w:jc w:val="left"/>
              <w:rPr>
                <w:spacing w:val="-2"/>
              </w:rPr>
            </w:pPr>
            <w:r>
              <w:rPr>
                <w:spacing w:val="-2"/>
              </w:rPr>
              <w:t xml:space="preserve">Name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284" w:type="dxa"/>
            <w:vMerge w:val="continue"/>
            <w:tcBorders>
              <w:bottom w:val="single" w:sz="2" w:space="0" w:color="000000"/>
            </w:tcBorders>
            <w:tcMar>
              <w:bottom w:w="42"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962" w:type="dxa"/>
            <w:tcBorders>
              <w:bottom w:val="single" w:sz="2" w:space="0" w:color="000000"/>
            </w:tcBorders>
            <w:tcMar>
              <w:bottom w:w="42" w:type="dxa"/>
            </w:tcMar>
            <w:vAlign w:val="center"/>
          </w:tcPr>
          <w:p>
            <w:pPr>
              <w:pStyle w:val="TableContents"/>
              <w:bidi w:val="0"/>
              <w:spacing w:before="0" w:after="0"/>
              <w:jc w:val="center"/>
              <w:rPr/>
            </w:pPr>
            <w:r>
              <w:rPr>
                <w:spacing w:val="-2"/>
              </w:rPr>
              <w:t>Before</w:t>
            </w:r>
            <w:r>
              <w:rPr/>
              <w:t xml:space="preserve"> </w:t>
              <w:br/>
            </w:r>
            <w:r>
              <w:rPr>
                <w:spacing w:val="-2"/>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2" w:type="dxa"/>
            <w:tcBorders>
              <w:bottom w:val="single" w:sz="2" w:space="0" w:color="000000"/>
            </w:tcBorders>
            <w:tcMar>
              <w:bottom w:w="42" w:type="dxa"/>
            </w:tcMar>
            <w:vAlign w:val="center"/>
          </w:tcPr>
          <w:p>
            <w:pPr>
              <w:pStyle w:val="TableContents"/>
              <w:bidi w:val="0"/>
              <w:spacing w:before="0" w:after="0"/>
              <w:jc w:val="center"/>
              <w:rPr/>
            </w:pPr>
            <w:r>
              <w:rPr>
                <w:spacing w:val="-2"/>
              </w:rPr>
              <w:t>After</w:t>
            </w:r>
            <w:r>
              <w:rPr/>
              <w:t xml:space="preserve"> </w:t>
              <w:br/>
            </w:r>
            <w:r>
              <w:rPr>
                <w:spacing w:val="-2"/>
              </w:rPr>
              <w:t xml:space="preserve">Offering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24" w:type="dxa"/>
            <w:tcBorders/>
            <w:shd w:fill="CCEEFF" w:val="clear"/>
            <w:tcMar>
              <w:bottom w:w="0" w:type="dxa"/>
            </w:tcMar>
            <w:vAlign w:val="center"/>
          </w:tcPr>
          <w:p>
            <w:pPr>
              <w:pStyle w:val="TableContents"/>
              <w:bidi w:val="0"/>
              <w:spacing w:before="0" w:after="283"/>
              <w:jc w:val="left"/>
              <w:rPr/>
            </w:pPr>
            <w:r>
              <w:rPr>
                <w:spacing w:val="-2"/>
              </w:rPr>
              <w:t>5% or Greater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24" w:type="dxa"/>
            <w:tcBorders/>
            <w:tcMar>
              <w:bottom w:w="0" w:type="dxa"/>
            </w:tcMar>
            <w:vAlign w:val="center"/>
          </w:tcPr>
          <w:p>
            <w:pPr>
              <w:pStyle w:val="TableContents"/>
              <w:bidi w:val="0"/>
              <w:spacing w:before="0" w:after="0"/>
              <w:jc w:val="left"/>
              <w:rPr>
                <w:spacing w:val="-2"/>
              </w:rPr>
            </w:pPr>
            <w:r>
              <w:rPr>
                <w:spacing w:val="-2"/>
              </w:rPr>
              <w:t xml:space="preserve">ARCH Venture Fund XII, L.P.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24" w:type="dxa"/>
            <w:tcBorders/>
            <w:shd w:fill="CCEEFF" w:val="clear"/>
            <w:tcMar>
              <w:bottom w:w="0" w:type="dxa"/>
            </w:tcMar>
            <w:vAlign w:val="center"/>
          </w:tcPr>
          <w:p>
            <w:pPr>
              <w:pStyle w:val="TableContents"/>
              <w:bidi w:val="0"/>
              <w:spacing w:before="0" w:after="0"/>
              <w:jc w:val="left"/>
              <w:rPr>
                <w:spacing w:val="-2"/>
              </w:rPr>
            </w:pPr>
            <w:r>
              <w:rPr>
                <w:spacing w:val="-2"/>
              </w:rPr>
              <w:t xml:space="preserve">Invus Public Equities, L.P.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24" w:type="dxa"/>
            <w:tcBorders/>
            <w:tcMar>
              <w:bottom w:w="0" w:type="dxa"/>
            </w:tcMar>
            <w:vAlign w:val="center"/>
          </w:tcPr>
          <w:p>
            <w:pPr>
              <w:pStyle w:val="TableContents"/>
              <w:bidi w:val="0"/>
              <w:spacing w:before="0" w:after="0"/>
              <w:jc w:val="left"/>
              <w:rPr>
                <w:spacing w:val="-2"/>
              </w:rPr>
            </w:pPr>
            <w:r>
              <w:rPr>
                <w:spacing w:val="-2"/>
              </w:rPr>
              <w:t xml:space="preserve">Entities Affiliated with Fidelity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24" w:type="dxa"/>
            <w:tcBorders/>
            <w:shd w:fill="CCEEFF" w:val="clear"/>
            <w:tcMar>
              <w:bottom w:w="0" w:type="dxa"/>
            </w:tcMar>
            <w:vAlign w:val="center"/>
          </w:tcPr>
          <w:p>
            <w:pPr>
              <w:pStyle w:val="TableContents"/>
              <w:bidi w:val="0"/>
              <w:spacing w:before="0" w:after="283"/>
              <w:jc w:val="left"/>
              <w:rPr/>
            </w:pPr>
            <w:r>
              <w:rPr>
                <w:spacing w:val="-2"/>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24" w:type="dxa"/>
            <w:tcBorders/>
            <w:tcMar>
              <w:bottom w:w="0" w:type="dxa"/>
            </w:tcMar>
            <w:vAlign w:val="center"/>
          </w:tcPr>
          <w:p>
            <w:pPr>
              <w:pStyle w:val="TableContents"/>
              <w:bidi w:val="0"/>
              <w:spacing w:before="0" w:after="0"/>
              <w:ind w:left="200" w:right="0" w:hanging="200"/>
              <w:jc w:val="both"/>
              <w:rPr/>
            </w:pPr>
            <w:r>
              <w:rPr>
                <w:spacing w:val="-2"/>
              </w:rPr>
              <w:t>Andrew (Andy) Orth, M.B.A.</w:t>
            </w:r>
            <w:r>
              <w:rPr/>
              <w:t xml:space="preserve"> </w:t>
              <w:br/>
            </w:r>
            <w:r>
              <w:rPr>
                <w:i/>
                <w:spacing w:val="-2"/>
              </w:rPr>
              <w:t>President, Chief Executive Officer and Director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24" w:type="dxa"/>
            <w:tcBorders/>
            <w:shd w:fill="CCEEFF" w:val="clear"/>
            <w:tcMar>
              <w:bottom w:w="0" w:type="dxa"/>
            </w:tcMar>
            <w:vAlign w:val="center"/>
          </w:tcPr>
          <w:p>
            <w:pPr>
              <w:pStyle w:val="TableContents"/>
              <w:bidi w:val="0"/>
              <w:spacing w:before="0" w:after="0"/>
              <w:ind w:left="200" w:right="0" w:hanging="200"/>
              <w:jc w:val="both"/>
              <w:rPr/>
            </w:pPr>
            <w:r>
              <w:rPr>
                <w:spacing w:val="-2"/>
              </w:rPr>
              <w:t>Baisong Mei, M.D., Ph.D.</w:t>
            </w:r>
            <w:r>
              <w:rPr/>
              <w:t xml:space="preserve"> </w:t>
              <w:br/>
            </w:r>
            <w:r>
              <w:rPr>
                <w:i/>
                <w:spacing w:val="-2"/>
              </w:rPr>
              <w:t>Chief Medical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24" w:type="dxa"/>
            <w:tcBorders/>
            <w:tcMar>
              <w:bottom w:w="0" w:type="dxa"/>
            </w:tcMar>
            <w:vAlign w:val="center"/>
          </w:tcPr>
          <w:p>
            <w:pPr>
              <w:pStyle w:val="TableContents"/>
              <w:bidi w:val="0"/>
              <w:spacing w:before="0" w:after="0"/>
              <w:ind w:left="200" w:right="0" w:hanging="200"/>
              <w:jc w:val="both"/>
              <w:rPr/>
            </w:pPr>
            <w:r>
              <w:rPr>
                <w:spacing w:val="-2"/>
              </w:rPr>
              <w:t>Tracy Zimmermann, Ph.D.</w:t>
            </w:r>
            <w:r>
              <w:rPr/>
              <w:t xml:space="preserve"> </w:t>
              <w:br/>
            </w:r>
            <w:r>
              <w:rPr>
                <w:i/>
                <w:spacing w:val="-2"/>
              </w:rPr>
              <w:t>Chief Scientific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24" w:type="dxa"/>
            <w:tcBorders/>
            <w:shd w:fill="CCEEFF" w:val="clear"/>
            <w:tcMar>
              <w:bottom w:w="0" w:type="dxa"/>
            </w:tcMar>
            <w:vAlign w:val="center"/>
          </w:tcPr>
          <w:p>
            <w:pPr>
              <w:pStyle w:val="TableContents"/>
              <w:bidi w:val="0"/>
              <w:spacing w:before="0" w:after="0"/>
              <w:jc w:val="left"/>
              <w:rPr>
                <w:spacing w:val="-2"/>
              </w:rPr>
            </w:pPr>
            <w:r>
              <w:rPr>
                <w:spacing w:val="-2"/>
              </w:rPr>
              <w:t xml:space="preserve">John Maraganore,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24" w:type="dxa"/>
            <w:tcBorders/>
            <w:tcMar>
              <w:bottom w:w="0" w:type="dxa"/>
            </w:tcMar>
            <w:vAlign w:val="center"/>
          </w:tcPr>
          <w:p>
            <w:pPr>
              <w:pStyle w:val="TableContents"/>
              <w:bidi w:val="0"/>
              <w:spacing w:before="0" w:after="0"/>
              <w:jc w:val="left"/>
              <w:rPr>
                <w:spacing w:val="-2"/>
              </w:rPr>
            </w:pPr>
            <w:r>
              <w:rPr>
                <w:spacing w:val="-2"/>
              </w:rPr>
              <w:t xml:space="preserve">Barry Greene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24" w:type="dxa"/>
            <w:tcBorders/>
            <w:shd w:fill="CCEEFF" w:val="clear"/>
            <w:tcMar>
              <w:bottom w:w="0" w:type="dxa"/>
            </w:tcMar>
            <w:vAlign w:val="center"/>
          </w:tcPr>
          <w:p>
            <w:pPr>
              <w:pStyle w:val="TableContents"/>
              <w:bidi w:val="0"/>
              <w:spacing w:before="0" w:after="0"/>
              <w:jc w:val="left"/>
              <w:rPr>
                <w:spacing w:val="-2"/>
              </w:rPr>
            </w:pPr>
            <w:r>
              <w:rPr>
                <w:spacing w:val="-2"/>
              </w:rPr>
              <w:t xml:space="preserve">Robert Nelsen, M.B.A.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24" w:type="dxa"/>
            <w:tcBorders/>
            <w:tcMar>
              <w:bottom w:w="0" w:type="dxa"/>
            </w:tcMar>
            <w:vAlign w:val="center"/>
          </w:tcPr>
          <w:p>
            <w:pPr>
              <w:pStyle w:val="TableContents"/>
              <w:bidi w:val="0"/>
              <w:spacing w:before="0" w:after="0"/>
              <w:jc w:val="left"/>
              <w:rPr>
                <w:spacing w:val="-2"/>
              </w:rPr>
            </w:pPr>
            <w:r>
              <w:rPr>
                <w:spacing w:val="-2"/>
              </w:rPr>
              <w:t xml:space="preserve">Saraswathy (Sara) V. Nochur,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24" w:type="dxa"/>
            <w:tcBorders/>
            <w:shd w:fill="CCEEFF" w:val="clear"/>
            <w:tcMar>
              <w:bottom w:w="0" w:type="dxa"/>
            </w:tcMar>
            <w:vAlign w:val="center"/>
          </w:tcPr>
          <w:p>
            <w:pPr>
              <w:pStyle w:val="TableContents"/>
              <w:bidi w:val="0"/>
              <w:spacing w:before="0" w:after="0"/>
              <w:jc w:val="left"/>
              <w:rPr>
                <w:spacing w:val="-2"/>
              </w:rPr>
            </w:pPr>
            <w:r>
              <w:rPr>
                <w:spacing w:val="-2"/>
              </w:rPr>
              <w:t xml:space="preserve">Ron Philip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24" w:type="dxa"/>
            <w:tcBorders/>
            <w:tcMar>
              <w:bottom w:w="0" w:type="dxa"/>
            </w:tcMar>
            <w:vAlign w:val="center"/>
          </w:tcPr>
          <w:p>
            <w:pPr>
              <w:pStyle w:val="TableContents"/>
              <w:bidi w:val="0"/>
              <w:spacing w:before="0" w:after="0"/>
              <w:ind w:left="200" w:right="0" w:hanging="200"/>
              <w:jc w:val="left"/>
              <w:rPr/>
            </w:pPr>
            <w:r>
              <w:rPr>
                <w:spacing w:val="-2"/>
              </w:rPr>
              <w:t xml:space="preserve">All executive officers and directors as a group </w:t>
            </w:r>
            <w:r>
              <w:rPr/>
              <w:br/>
            </w:r>
            <w:r>
              <w:rPr>
                <w:spacing w:val="-2"/>
              </w:rPr>
              <w:t>(9 persons)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beneficial ownership of less than 1%.</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88900" distB="0" distL="0" distR="0" simplePos="0" locked="0" layoutInCell="1" allowOverlap="1" relativeHeight="514">
                <wp:simplePos x="0" y="0"/>
                <wp:positionH relativeFrom="column">
                  <wp:align>left</wp:align>
                </wp:positionH>
                <wp:positionV relativeFrom="line">
                  <wp:align>top</wp:align>
                </wp:positionV>
                <wp:extent cx="254000" cy="233680"/>
                <wp:effectExtent l="0" t="0" r="0" b="0"/>
                <wp:wrapSquare wrapText="right"/>
                <wp:docPr id="512" name="Frame49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DOCS"/>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DESCRIPTION OF CAPITAL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General</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description of our capital stock and certain provisions of our amended and restated certificate of incorporation and amended and restated bylaws are summaries and are qualified by reference to the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Copies of these documents have been filed with the SEC as exhibits to our registration statement, of which this prospectus forms a part. The descriptions of the common stock and convertible preferred stock reflect changes to our capital structure that will be in effect on the completion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filing of our amended and restated certificate of incorporation and the completion of this offering, our authorized capital stock will consist of       shares of common stock, par value $0.0001 per share, and      shares of convertible preferred stock, par value $0.0001 per share, all of which shares of convertible preferred stock will be undesignated.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June 30, 2026, there were       shares of common stock (which includes       shares of restricted common stock subject to repurchase or forfeiture) outstanding and held of record by stockholders. This amount assumes the conversion of all outstanding shares of our convertible preferred stock into common stock, which will occur immediately prior to the completion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Common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the Board out of funds legally available for that purpose, subject to any preferential dividend rights of any outstanding convertible preferred stock. Our common stock has no preemptive rights, conversion rights or other subscription rights or redemption or sinking fund provisions.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event of our liquidation, dissolution or winding up, holders of our common stock will be entitled to share ratably in all assets remaining after payment of all debts and other liabilities and any liquidation preference of any outstanding convertible preferred stock. The shares to be issued by us in this offering will be, when issued and paid for, validly issued, fully paid and non-assessable.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Immediately prior to the completion of this offering, all outstanding shares of our convertible preferred stock will be converted into shares of our common stock. Upon the consummation of this offering, our board of directors will have the authority, without further action by our stockholders, to issue up to       shares of convertible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convertible preferred stock could adversely affect the voting power of holders of common stock and the likelihood that such holders will receive dividend payments and payments upon our liquidation. In addition, the issuance of convertible preferred stock could have the effect of delaying, deferring or preventing a change in control of our company or other corporate action. Immediately after consummation of this offering, no shares of convertible preferred stock will be outstanding, and we have no present plan to issue any shares of convertible preferred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Stock Options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As of June 30, 2026,       shares of common stock were issuable upon the exercise of outstanding stock options under the 2023 Plan, at a weighted-average exercise price of $     per share; and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of our common stock were reserved for future issuance under the 2026 Plan, which will become effective once the registration statement of which this prospectus forms a part is declared effective, as well as any future automatic annual increases in the number of shares of common stock reserved for issuance under the 2026 Plan, and any shares underlying outstanding stock awards granted under the 2023 Plan, that expire or are repurchased, forfeited, cancelled or withheld. For additional information regarding terms of our equity incentive plans, see the section titled “</w:t>
      </w:r>
      <w:r>
        <w:rPr>
          <w:rFonts w:ascii="Helvetica;Arial;sans-serif" w:hAnsi="Helvetica;Arial;sans-serif"/>
          <w:b w:val="false"/>
          <w:i/>
          <w:caps w:val="false"/>
          <w:smallCaps w:val="false"/>
          <w:color w:val="000000"/>
          <w:spacing w:val="-2"/>
          <w:sz w:val="20"/>
        </w:rPr>
        <w:t>Executive Compensation — Employee Benefit and Equity Compensation Plans</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Registration Rights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this offering and subject to the lock-up agreements entered into in connection with this offering and federal securities laws, certain holders of shares of our common stock, including those shares of our common stock that will be issued upon the conversion of our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the Investor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all registration expenses, other than underwriting discounts, selling commissions and stock transfer taxes, of the shares registered pursuant to the demand, piggyback and Form S-3 registrations described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four years after the completion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Form S-1 Registration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this offering, certain holders of our common stock, including those issuable upon the conversion of shares of our convertible preferred stock upon completion of this offering, will be entitled to certain demand registration rights. At any time beginning 180 days after the completion of this offering, the holders of a majority of registrable securities then outstanding may request that we register all or a portion of their shares on Form S-1 if the anticipated aggregate offering price of the shares offered would exceed $75 million. With certain exceptions, we are not required to effect the filing of a registration statement during the period starting with the date of the filing of, and ending on a date 60 days following the effective date of the registration statement for this offering. We will not be required to effect more than two registrations pursuant to this provision of the Investor Rights Agreement.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Piggyback Registration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connection with this offering, certain holders of our common stock, including those issuable upon the conversion of shares of our convertible preferred stock upon completion of this offering,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Form S-3 Registration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Upon the completion of this offering, certain holders of our common stock, including those issuable upon the conversion of shares of our convertible preferred stock upon completion of this offering, will be entitled to certain Form S-3 registration rights. Holders of at least 20% of registrable securities then outstanding can make a request that we register their shares on Form S-3 if we are qualified to file a registration statement on Form S-3 and if the anticipated aggregate offering price of the shares offered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would exceed $5 million. We will not be required to effect more than two registrations on Form S-3 within any twelve-month period pursuant to this provision of the Investor Rights Agreement. The right to have such shares registered on Form S-3 is further subject to other specified conditions and limitations.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Expiration of Registration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demand registration rights and short-form registration rights granted under the investor rights agreement will terminate on the earliest of (i) the closing of a “Deemed Liquidation Event,” as such term is defined in our certificate of incorporation (as currently in effect), (ii) the fifth anniversary of the completion of this offering and (iii) such time after consummation of this offering as SEC Rule 144 or another similar exemption under the Securities Act is available for the sale of all of the securities subject to such registration rights without limitation during a three-month period without registration.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Anti-Takeover Effects of Our Certificate of Incorporation and Bylaws and Delaware Law</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and amended and restated bylaws will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Board Composition and Filling Vacancies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will provide for the division of our board of directors into three classes serving staggered three-year terms, with one class being elected each year. Our amended and restated certificate of incorporation also will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No Written Consent of Stockholders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Meetings of Stockholders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and amended and restated bylaws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Advance Notice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amended and restated bylaws will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not less than 90 days nor more than 120 days prior to the first anniversary date of the annual meeting for the preceding year. Our amended and restated bylaws specify the requirements as to form and content of all stockholders’ notices. These requirements may preclude stockholders from bringing matters before the stockholders at an annual or special meeting.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Amendment to Certificate of Incorporation and Bylaws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amendment to our amended 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Undesignated Convertible Preferred Stock</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will provide for         authorized shares of convertible preferred stock. The existence of authorized but unissued shares of convertible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convertible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will grant our board of directors broad power to establish the rights and preferences of authorized and unissued shares of convertible preferred stock. The issuance of shares of convertible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Section 203 of the Delaware General Corporation Law</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before the stockholder became interested, our board of directors approved either the business combination or the transaction which resulted in the stockholder becoming an interested stockholder;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15">
                <wp:simplePos x="0" y="0"/>
                <wp:positionH relativeFrom="column">
                  <wp:align>left</wp:align>
                </wp:positionH>
                <wp:positionV relativeFrom="line">
                  <wp:align>top</wp:align>
                </wp:positionV>
                <wp:extent cx="254000" cy="350520"/>
                <wp:effectExtent l="0" t="0" r="0" b="0"/>
                <wp:wrapSquare wrapText="right"/>
                <wp:docPr id="513" name="Frame4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w:t>
      </w:r>
      <w:r>
        <mc:AlternateContent>
          <mc:Choice Requires="wps">
            <w:drawing>
              <wp:anchor behindDoc="0" distT="74930" distB="0" distL="254000" distR="0" simplePos="0" locked="0" layoutInCell="1" allowOverlap="1" relativeHeight="516">
                <wp:simplePos x="0" y="0"/>
                <wp:positionH relativeFrom="column">
                  <wp:align>left</wp:align>
                </wp:positionH>
                <wp:positionV relativeFrom="line">
                  <wp:align>top</wp:align>
                </wp:positionV>
                <wp:extent cx="254000" cy="350520"/>
                <wp:effectExtent l="0" t="0" r="0" b="0"/>
                <wp:wrapSquare wrapText="right"/>
                <wp:docPr id="514" name="Frame4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determining the voting stock outstanding, shares owned by persons who are directors and also officers, and employee stock plans, in some instances, but not the outstanding voting stock owned by the interested stockholder; 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517">
                <wp:simplePos x="0" y="0"/>
                <wp:positionH relativeFrom="column">
                  <wp:align>left</wp:align>
                </wp:positionH>
                <wp:positionV relativeFrom="line">
                  <wp:align>top</wp:align>
                </wp:positionV>
                <wp:extent cx="254000" cy="350520"/>
                <wp:effectExtent l="0" t="0" r="0" b="0"/>
                <wp:wrapSquare wrapText="right"/>
                <wp:docPr id="515" name="Frame4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Section 203 defines a business combination to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merger or consolidation involving the corporation and the interested stockholder;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518">
                <wp:simplePos x="0" y="0"/>
                <wp:positionH relativeFrom="column">
                  <wp:align>left</wp:align>
                </wp:positionH>
                <wp:positionV relativeFrom="line">
                  <wp:align>top</wp:align>
                </wp:positionV>
                <wp:extent cx="254000" cy="350520"/>
                <wp:effectExtent l="0" t="0" r="0" b="0"/>
                <wp:wrapSquare wrapText="right"/>
                <wp:docPr id="516" name="Frame4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sale, transfer, lease, pledge or other disposition involving the interested stockholder of 10% or more of the assets of the corporation;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519">
                <wp:simplePos x="0" y="0"/>
                <wp:positionH relativeFrom="column">
                  <wp:align>left</wp:align>
                </wp:positionH>
                <wp:positionV relativeFrom="line">
                  <wp:align>top</wp:align>
                </wp:positionV>
                <wp:extent cx="254000" cy="350520"/>
                <wp:effectExtent l="0" t="0" r="0" b="0"/>
                <wp:wrapSquare wrapText="right"/>
                <wp:docPr id="517" name="Frame4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 to exceptions, any transaction that results in the issuance or transfer by the corporation of any stock of the corporation to the interested stockholder;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520">
                <wp:simplePos x="0" y="0"/>
                <wp:positionH relativeFrom="column">
                  <wp:align>left</wp:align>
                </wp:positionH>
                <wp:positionV relativeFrom="line">
                  <wp:align>top</wp:align>
                </wp:positionV>
                <wp:extent cx="254000" cy="350520"/>
                <wp:effectExtent l="0" t="0" r="0" b="0"/>
                <wp:wrapSquare wrapText="right"/>
                <wp:docPr id="518" name="Frame4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 to exceptions, any transaction involving the corporation that has the effect of increasing the proportionate share of the stock of any class or series of the corporation beneficially owned by the interested stockholder;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521">
                <wp:simplePos x="0" y="0"/>
                <wp:positionH relativeFrom="column">
                  <wp:align>left</wp:align>
                </wp:positionH>
                <wp:positionV relativeFrom="line">
                  <wp:align>top</wp:align>
                </wp:positionV>
                <wp:extent cx="254000" cy="350520"/>
                <wp:effectExtent l="0" t="0" r="0" b="0"/>
                <wp:wrapSquare wrapText="right"/>
                <wp:docPr id="519" name="Frame4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receipt by the interested stockholder of the benefit of any loans, advances, guarantees, pledges or other financial benefits provided by or through the corporation.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522">
                <wp:simplePos x="0" y="0"/>
                <wp:positionH relativeFrom="column">
                  <wp:align>left</wp:align>
                </wp:positionH>
                <wp:positionV relativeFrom="line">
                  <wp:align>top</wp:align>
                </wp:positionV>
                <wp:extent cx="254000" cy="350520"/>
                <wp:effectExtent l="0" t="0" r="0" b="0"/>
                <wp:wrapSquare wrapText="right"/>
                <wp:docPr id="520" name="Frame4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Choice of Forum</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bylaws will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amended and restated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our amended and restated bylaws will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6880"/>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our amended and restated bylaws will provide that any person or entity holding, owning or otherwise acquiring any interest in any of our securities shall be deemed to have notice of and consented to these provisions.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Limitations on Liability and Indemnification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See the section titled “</w:t>
      </w:r>
      <w:r>
        <w:rPr>
          <w:rFonts w:ascii="Helvetica;Arial;sans-serif" w:hAnsi="Helvetica;Arial;sans-serif"/>
          <w:b w:val="false"/>
          <w:i/>
          <w:caps w:val="false"/>
          <w:smallCaps w:val="false"/>
          <w:color w:val="000000"/>
          <w:spacing w:val="-2"/>
          <w:sz w:val="20"/>
        </w:rPr>
        <w:t>Management — Limitations on Liability and Indemnification</w:t>
      </w:r>
      <w:r>
        <w:rPr>
          <w:rFonts w:ascii="Helvetica;Arial;sans-serif" w:hAnsi="Helvetica;Arial;sans-serif"/>
          <w:b w:val="false"/>
          <w:i w:val="false"/>
          <w:caps w:val="false"/>
          <w:smallCaps w:val="false"/>
          <w:color w:val="000000"/>
          <w:spacing w:val="-2"/>
          <w:sz w:val="20"/>
        </w:rPr>
        <w:t>” appearing elsewhere in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Exchange Listing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common stock is currently not listed on any securities exchange. We intend to apply to have our common stock approved for listing on Nasdaq under the symbol “CTY.”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Transfer Agent and Registrar</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On the completion of this offering, the transfer agent and registrar for our common stock will be Computershare Trust Company, N.A. The transfer agent’s address is 150 Royall Street, Suite 101, Canton, MA 02021.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SEF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SHARES ELIGIBLE FOR FUTURE SALE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 Although we intend to apply to list our common stock on Nasdaq, we cannot assure you that there will be an active public market for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Following the completion of this offering, based on our shares outstanding as of June 30, 2026, a total of      shares of common stock will be outstanding, assuming no exercise of the underwriters’ option to purchase additional shares and no exercise of outstanding options. Of the outstanding shares, all of the shares sold in this offering will be freely tradable.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Rule 144</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 of the number of shares of common stock then outstanding, which will equal approximately shares immediately after this offering, assuming no exercise of the underwriters’ option to purchase additional shares of common stock from us;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23">
                <wp:simplePos x="0" y="0"/>
                <wp:positionH relativeFrom="column">
                  <wp:align>left</wp:align>
                </wp:positionH>
                <wp:positionV relativeFrom="line">
                  <wp:align>top</wp:align>
                </wp:positionV>
                <wp:extent cx="254000" cy="350520"/>
                <wp:effectExtent l="0" t="0" r="0" b="0"/>
                <wp:wrapSquare wrapText="right"/>
                <wp:docPr id="521" name="Frame4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average weekly trading volume of our common stock on Nasdaq during the four calendar weeks preceding the filing of a notice on Form 144 with respect to such sale.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24">
                <wp:simplePos x="0" y="0"/>
                <wp:positionH relativeFrom="column">
                  <wp:align>left</wp:align>
                </wp:positionH>
                <wp:positionV relativeFrom="line">
                  <wp:align>top</wp:align>
                </wp:positionV>
                <wp:extent cx="254000" cy="350520"/>
                <wp:effectExtent l="0" t="0" r="0" b="0"/>
                <wp:wrapSquare wrapText="right"/>
                <wp:docPr id="522" name="Frame5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Sales under Rule 144 by our affiliates or persons selling shares on behalf of our affiliates are also subject to certain manner of sale provisions and notice requirements and to the availability of current public information about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Rule 701</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Rule 701 under the Securities Act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536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Rule 701 shares, however, are required by that rule to wait until 90 days after the date of this prospectus before selling those shares under Rule 701, subject to the expiration of the lock-up agreements described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Form S-8 Registration Statements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intend to file one or more registration statements on Form S-8 under the Securities Act with the SEC to register the offer and sale of shares of our common stock that are issuable under the 2023 Plan, the 2026 Plan and the ESPP.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Lock-Up Arrangements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all of our directors and officers, and the holders of substantially all of our capital stock and securities convertible into or exchangeable for our capital stock have entered into lock-up agreements with the underwriters and/or are subject to market standoff agreements or other agreements with us, which prevents them from selling any of our common stock or any securities convertible into or exercisable or exchangeable for common stock for a period of not less than 180 days from the date of this prospectus without the prior written consent of Goldman Sachs &amp; Co. LLC and Jefferies LLC, subject to certain exceptions. See the section titled “</w:t>
      </w:r>
      <w:r>
        <w:rPr>
          <w:rFonts w:ascii="Helvetica;Arial;sans-serif" w:hAnsi="Helvetica;Arial;sans-serif"/>
          <w:b w:val="false"/>
          <w:i/>
          <w:caps w:val="false"/>
          <w:smallCaps w:val="false"/>
          <w:color w:val="000000"/>
          <w:spacing w:val="-2"/>
          <w:sz w:val="20"/>
        </w:rPr>
        <w:t>Underwriting</w:t>
      </w:r>
      <w:r>
        <w:rPr>
          <w:rFonts w:ascii="Helvetica;Arial;sans-serif" w:hAnsi="Helvetica;Arial;sans-serif"/>
          <w:b w:val="false"/>
          <w:i w:val="false"/>
          <w:caps w:val="false"/>
          <w:smallCaps w:val="false"/>
          <w:color w:val="000000"/>
          <w:spacing w:val="-2"/>
          <w:sz w:val="20"/>
        </w:rPr>
        <w:t>” appearing elsewhere in this prospectus for more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Registration Rights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titled “</w:t>
      </w:r>
      <w:r>
        <w:rPr>
          <w:rFonts w:ascii="Helvetica;Arial;sans-serif" w:hAnsi="Helvetica;Arial;sans-serif"/>
          <w:b w:val="false"/>
          <w:i/>
          <w:caps w:val="false"/>
          <w:smallCaps w:val="false"/>
          <w:color w:val="000000"/>
          <w:spacing w:val="-2"/>
          <w:sz w:val="20"/>
        </w:rPr>
        <w:t>Description of Capital Stock — Registration Rights</w:t>
      </w:r>
      <w:r>
        <w:rPr>
          <w:rFonts w:ascii="Helvetica;Arial;sans-serif" w:hAnsi="Helvetica;Arial;sans-serif"/>
          <w:b w:val="false"/>
          <w:i w:val="false"/>
          <w:caps w:val="false"/>
          <w:smallCaps w:val="false"/>
          <w:color w:val="000000"/>
          <w:spacing w:val="-2"/>
          <w:sz w:val="20"/>
        </w:rPr>
        <w:t>” appearing elsewhere in this prospectus for more information.</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MUFI"/>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MATERIAL U.S. FEDERAL INCOME TAX CONSEQUENCES FOR NON-U.S. HOLDERS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discussion is a summary of material U.S. federal income tax consequences to non-U.S. holders (as defined below) of the ownership and disposition of our common stock issued pursuant to this offering. This discussion is based on the Internal Revenue Code of 1986, as amended (the “Code”), Treasury Regulations promulgated thereunder, published rulings and administrative pronouncements of the U.S. Internal Revenue Service (the “IRS”), and judicial decisions, all as in effect on the date hereof. These authorities are subject to differing interpretations and may change, possibly with retroactive effect,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discussion is limited to non-U.S. holders who purchase our common stock pursuant to this offering and who hold our common stock as a “capital asset” within the meaning of Section 1221 of the Code (generally, property held for investment). This discussion is not a complete analysis of all potential U.S. federal income tax consequences relating thereto, does not address the potential application of the Medicare contribution tax on net investment income, any alternative minimum tax, or the special tax accounting rules under Section 451(b) of the Code, and also does not address any U.S. federal non-income tax consequences, such as estate or gift tax consequences, or any tax consequences arising under any state, local or non-U.S. tax laws. This discussion does not address all of the U.S. federal income tax consequences that may be relevant to a non-U.S. holder in light of such non-U.S. holder’s particular circumstances. This discussion also does not consider any specific facts or circumstances that may be relevant to non-U.S. holders subject to special rules under the U.S. federal income tax laws,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certain former citizens, or long-term residents of the United States;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5">
                <wp:simplePos x="0" y="0"/>
                <wp:positionH relativeFrom="column">
                  <wp:align>left</wp:align>
                </wp:positionH>
                <wp:positionV relativeFrom="line">
                  <wp:align>top</wp:align>
                </wp:positionV>
                <wp:extent cx="254000" cy="350520"/>
                <wp:effectExtent l="0" t="0" r="0" b="0"/>
                <wp:wrapSquare wrapText="right"/>
                <wp:docPr id="523" name="Frame5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partnerships or other entities or arrangements treated as pass-through or disregarded entities for U.S. federal income tax purposes (and investors therein);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6">
                <wp:simplePos x="0" y="0"/>
                <wp:positionH relativeFrom="column">
                  <wp:align>left</wp:align>
                </wp:positionH>
                <wp:positionV relativeFrom="line">
                  <wp:align>top</wp:align>
                </wp:positionV>
                <wp:extent cx="254000" cy="350520"/>
                <wp:effectExtent l="0" t="0" r="0" b="0"/>
                <wp:wrapSquare wrapText="right"/>
                <wp:docPr id="524" name="Frame5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controlled foreign corporations”;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7">
                <wp:simplePos x="0" y="0"/>
                <wp:positionH relativeFrom="column">
                  <wp:align>left</wp:align>
                </wp:positionH>
                <wp:positionV relativeFrom="line">
                  <wp:align>top</wp:align>
                </wp:positionV>
                <wp:extent cx="254000" cy="350520"/>
                <wp:effectExtent l="0" t="0" r="0" b="0"/>
                <wp:wrapSquare wrapText="right"/>
                <wp:docPr id="525" name="Frame5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passive foreign investment companies”;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28">
                <wp:simplePos x="0" y="0"/>
                <wp:positionH relativeFrom="column">
                  <wp:align>left</wp:align>
                </wp:positionH>
                <wp:positionV relativeFrom="line">
                  <wp:align>top</wp:align>
                </wp:positionV>
                <wp:extent cx="254000" cy="350520"/>
                <wp:effectExtent l="0" t="0" r="0" b="0"/>
                <wp:wrapSquare wrapText="right"/>
                <wp:docPr id="526" name="Frame5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foreign controlled foreign corporations”;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29">
                <wp:simplePos x="0" y="0"/>
                <wp:positionH relativeFrom="column">
                  <wp:align>left</wp:align>
                </wp:positionH>
                <wp:positionV relativeFrom="line">
                  <wp:align>top</wp:align>
                </wp:positionV>
                <wp:extent cx="254000" cy="350520"/>
                <wp:effectExtent l="0" t="0" r="0" b="0"/>
                <wp:wrapSquare wrapText="right"/>
                <wp:docPr id="527" name="Frame5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corporations that accumulate earnings to avoid U.S. federal income tax;</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30">
                <wp:simplePos x="0" y="0"/>
                <wp:positionH relativeFrom="column">
                  <wp:align>left</wp:align>
                </wp:positionH>
                <wp:positionV relativeFrom="line">
                  <wp:align>top</wp:align>
                </wp:positionV>
                <wp:extent cx="254000" cy="350520"/>
                <wp:effectExtent l="0" t="0" r="0" b="0"/>
                <wp:wrapSquare wrapText="right"/>
                <wp:docPr id="528" name="Frame5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banks, mutual funds, financial institutions, investment funds, insurance companies, brokers, dealers or traders in stock, securities, commodities or currencies;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31">
                <wp:simplePos x="0" y="0"/>
                <wp:positionH relativeFrom="column">
                  <wp:align>left</wp:align>
                </wp:positionH>
                <wp:positionV relativeFrom="line">
                  <wp:align>top</wp:align>
                </wp:positionV>
                <wp:extent cx="254000" cy="350520"/>
                <wp:effectExtent l="0" t="0" r="0" b="0"/>
                <wp:wrapSquare wrapText="right"/>
                <wp:docPr id="529" name="Frame5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tax-exempt organizations and governmental organizations;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32">
                <wp:simplePos x="0" y="0"/>
                <wp:positionH relativeFrom="column">
                  <wp:align>left</wp:align>
                </wp:positionH>
                <wp:positionV relativeFrom="line">
                  <wp:align>top</wp:align>
                </wp:positionV>
                <wp:extent cx="254000" cy="350520"/>
                <wp:effectExtent l="0" t="0" r="0" b="0"/>
                <wp:wrapSquare wrapText="right"/>
                <wp:docPr id="530" name="Frame5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tax-qualified retirement plans;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33">
                <wp:simplePos x="0" y="0"/>
                <wp:positionH relativeFrom="column">
                  <wp:align>left</wp:align>
                </wp:positionH>
                <wp:positionV relativeFrom="line">
                  <wp:align>top</wp:align>
                </wp:positionV>
                <wp:extent cx="254000" cy="350520"/>
                <wp:effectExtent l="0" t="0" r="0" b="0"/>
                <wp:wrapSquare wrapText="right"/>
                <wp:docPr id="531" name="Frame5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who acquire our common stock through the exercise of an option or otherwise as compensation;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34">
                <wp:simplePos x="0" y="0"/>
                <wp:positionH relativeFrom="column">
                  <wp:align>left</wp:align>
                </wp:positionH>
                <wp:positionV relativeFrom="line">
                  <wp:align>top</wp:align>
                </wp:positionV>
                <wp:extent cx="254000" cy="350520"/>
                <wp:effectExtent l="0" t="0" r="0" b="0"/>
                <wp:wrapSquare wrapText="right"/>
                <wp:docPr id="532" name="Frame5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qualified foreign pension funds as defined in Section 897(l)(2) of the Code and entities all of the interests of which are held by qualified foreign pension funds;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35">
                <wp:simplePos x="0" y="0"/>
                <wp:positionH relativeFrom="column">
                  <wp:align>left</wp:align>
                </wp:positionH>
                <wp:positionV relativeFrom="line">
                  <wp:align>top</wp:align>
                </wp:positionV>
                <wp:extent cx="254000" cy="350520"/>
                <wp:effectExtent l="0" t="0" r="0" b="0"/>
                <wp:wrapSquare wrapText="right"/>
                <wp:docPr id="533" name="Frame5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that own, or have owned, actually or constructively, more than 5% of our common stock;</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36">
                <wp:simplePos x="0" y="0"/>
                <wp:positionH relativeFrom="column">
                  <wp:align>left</wp:align>
                </wp:positionH>
                <wp:positionV relativeFrom="line">
                  <wp:align>top</wp:align>
                </wp:positionV>
                <wp:extent cx="254000" cy="350520"/>
                <wp:effectExtent l="0" t="0" r="0" b="0"/>
                <wp:wrapSquare wrapText="right"/>
                <wp:docPr id="534" name="Frame5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who have elected to mark securities to market;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37">
                <wp:simplePos x="0" y="0"/>
                <wp:positionH relativeFrom="column">
                  <wp:align>left</wp:align>
                </wp:positionH>
                <wp:positionV relativeFrom="line">
                  <wp:align>top</wp:align>
                </wp:positionV>
                <wp:extent cx="254000" cy="350520"/>
                <wp:effectExtent l="0" t="0" r="0" b="0"/>
                <wp:wrapSquare wrapText="right"/>
                <wp:docPr id="535" name="Frame5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holding our common stock as part of a hedging or conversion transaction or straddle, or synthetic security or a constructive sale, or other risk reduction strategy or integrated investment.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38">
                <wp:simplePos x="0" y="0"/>
                <wp:positionH relativeFrom="column">
                  <wp:align>left</wp:align>
                </wp:positionH>
                <wp:positionV relativeFrom="line">
                  <wp:align>top</wp:align>
                </wp:positionV>
                <wp:extent cx="254000" cy="350520"/>
                <wp:effectExtent l="0" t="0" r="0" b="0"/>
                <wp:wrapSquare wrapText="right"/>
                <wp:docPr id="536" name="Frame5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If an entity or arrangement that is classified as a partnership for U.S. federal income tax purposes holds our common stock, the U.S. federal income tax treatment of a partner in the partnership generally will depend on the status of the partner, the activities of the partnership and certain determinations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made at the partner level. Partnerships holding our common stock and the partners in such partnerships are urged to consult their tax advisors about the particular U.S. federal income tax consequences to them of owning and disposing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DISCUSSION IS FOR INFORMATIONAL PURPOSES ONLY AND IS NOT TAX ADVICE. PROSPECTIVE INVESTORS SHOULD CONSULT THEIR TAX ADVISORS REGARDING THE PARTICULAR U.S. FEDERAL INCOME TAX CONSEQUENCES TO THEM OF OWNING AND DISPOSING OF OUR COMMON STOCK, AS WELL AS ANY TAX CONSEQUENCES ARISING UNDER ANY STATE, LOCAL OR NON-U.S. TAX LAWS AND ANY OTHER U.S. FEDERAL TAX LAWS OR UNDER ANY APPLICABLE INCOME TAX TREATY.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Definition of Non-U.S. Holder</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purposes of this discussion, a non-U.S. holder is any beneficial owner of our common stock that is for U.S. federal income tax purposes: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non-resident alien individual;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39">
                <wp:simplePos x="0" y="0"/>
                <wp:positionH relativeFrom="column">
                  <wp:align>left</wp:align>
                </wp:positionH>
                <wp:positionV relativeFrom="line">
                  <wp:align>top</wp:align>
                </wp:positionV>
                <wp:extent cx="254000" cy="350520"/>
                <wp:effectExtent l="0" t="0" r="0" b="0"/>
                <wp:wrapSquare wrapText="right"/>
                <wp:docPr id="537" name="Frame5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corporation or any organization taxable as a corporation for U.S. federal income tax purposes that is not created or organized under the laws of the United States, any state thereof, or the District of Columbia;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40">
                <wp:simplePos x="0" y="0"/>
                <wp:positionH relativeFrom="column">
                  <wp:align>left</wp:align>
                </wp:positionH>
                <wp:positionV relativeFrom="line">
                  <wp:align>top</wp:align>
                </wp:positionV>
                <wp:extent cx="254000" cy="350520"/>
                <wp:effectExtent l="0" t="0" r="0" b="0"/>
                <wp:wrapSquare wrapText="right"/>
                <wp:docPr id="538" name="Frame5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foreign trust or estate, the income of which is not subject to U.S. federal income tax on a net income basis.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41">
                <wp:simplePos x="0" y="0"/>
                <wp:positionH relativeFrom="column">
                  <wp:align>left</wp:align>
                </wp:positionH>
                <wp:positionV relativeFrom="line">
                  <wp:align>top</wp:align>
                </wp:positionV>
                <wp:extent cx="254000" cy="350520"/>
                <wp:effectExtent l="0" t="0" r="0" b="0"/>
                <wp:wrapSquare wrapText="right"/>
                <wp:docPr id="539" name="Frame5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Distributions on Our Common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described under “</w:t>
      </w:r>
      <w:r>
        <w:rPr>
          <w:rFonts w:ascii="Helvetica;Arial;sans-serif" w:hAnsi="Helvetica;Arial;sans-serif"/>
          <w:b w:val="false"/>
          <w:i/>
          <w:caps w:val="false"/>
          <w:smallCaps w:val="false"/>
          <w:color w:val="000000"/>
          <w:spacing w:val="-2"/>
          <w:sz w:val="20"/>
        </w:rPr>
        <w:t>Dividend Policy</w:t>
      </w:r>
      <w:r>
        <w:rPr>
          <w:rFonts w:ascii="Helvetica;Arial;sans-serif" w:hAnsi="Helvetica;Arial;sans-serif"/>
          <w:b w:val="false"/>
          <w:i w:val="false"/>
          <w:caps w:val="false"/>
          <w:smallCaps w:val="false"/>
          <w:color w:val="000000"/>
          <w:spacing w:val="-2"/>
          <w:sz w:val="20"/>
        </w:rPr>
        <w:t xml:space="preserve">,” we do not currently anticipate declaring or paying, for the foreseeable future, any distributions on our capital stock. However, if we were to distribute cash or other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then constitute a return of capital and will first be applied against and reduce a holder’s tax basis in our common stock, but not below zero. Any excess will be treated as gain realized on the sale or other disposition of our common stock and will be treated as described under “— </w:t>
      </w:r>
      <w:r>
        <w:rPr>
          <w:rFonts w:ascii="Helvetica;Arial;sans-serif" w:hAnsi="Helvetica;Arial;sans-serif"/>
          <w:b w:val="false"/>
          <w:i/>
          <w:caps w:val="false"/>
          <w:smallCaps w:val="false"/>
          <w:color w:val="000000"/>
          <w:spacing w:val="-2"/>
          <w:sz w:val="20"/>
        </w:rPr>
        <w:t>Gain on Disposition of Our Common Stock</w:t>
      </w:r>
      <w:r>
        <w:rPr>
          <w:rFonts w:ascii="Helvetica;Arial;sans-serif" w:hAnsi="Helvetica;Arial;sans-serif"/>
          <w:b w:val="false"/>
          <w:i w:val="false"/>
          <w:caps w:val="false"/>
          <w:smallCaps w:val="false"/>
          <w:color w:val="000000"/>
          <w:spacing w:val="-2"/>
          <w:sz w:val="20"/>
        </w:rPr>
        <w:t>”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 to the discussions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to us or our withholding agent with a timely and valid IRS Form W-8BEN (in the case of individuals) or IRS Form W-8BEN-E (in the case of entities), or other appropriate form, certifying such holder’s qualification for the reduced rate. This certification must be provided to us or our withholding agent before the payment of the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or fixed base in the United States), such non-U.S. holder generally will be exempt from U.S. federal withholding tax. To claim the exemption, the non-U.S. holder generally must furnish a valid IRS Form W-8ECI (or applicable successor form), certifying that the dividends are effectively connected with the non-U.S. Holder’s conduct of a trade or business within the United States to the applicable withholding agent.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corporation also may be subject to an additional branch profits tax equal to 30% (or such lower rate specified by an applicable income tax treaty) of its effectively connected dividends, as adjusted for certain items.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Non-U.S. holders that do not provide the required certification on a timely basis, but that qualify for a reduced treaty rate, may obtain a refund or credit of any excess amounts withheld by timely filing an appropriate claim with the IRS. Non-U.S. holders should consult their tax advisors regarding any applicable income tax treaties that may provide for different rules.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Gain on Disposition of Our Common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 to the discussions below regarding backup withholding and FATCA (as defined below), a non-U.S. holder generally will not be subject to U.S. federal income tax on any gain realized on the sale or other taxable disposition of our common stock, unless: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r>
        <mc:AlternateContent>
          <mc:Choice Requires="wps">
            <w:drawing>
              <wp:anchor behindDoc="0" distT="74930" distB="0" distL="254000" distR="0" simplePos="0" locked="0" layoutInCell="1" allowOverlap="1" relativeHeight="542">
                <wp:simplePos x="0" y="0"/>
                <wp:positionH relativeFrom="column">
                  <wp:align>left</wp:align>
                </wp:positionH>
                <wp:positionV relativeFrom="line">
                  <wp:align>top</wp:align>
                </wp:positionV>
                <wp:extent cx="254000" cy="350520"/>
                <wp:effectExtent l="0" t="0" r="0" b="0"/>
                <wp:wrapSquare wrapText="right"/>
                <wp:docPr id="540" name="Frame5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non-U.S. holder is a nonresident alien individual who is present in the United States for a period or periods aggregating 183 days or more during the taxable year of the disposition, and certain other requirements are met;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43">
                <wp:simplePos x="0" y="0"/>
                <wp:positionH relativeFrom="column">
                  <wp:align>left</wp:align>
                </wp:positionH>
                <wp:positionV relativeFrom="line">
                  <wp:align>top</wp:align>
                </wp:positionV>
                <wp:extent cx="254000" cy="350520"/>
                <wp:effectExtent l="0" t="0" r="0" b="0"/>
                <wp:wrapSquare wrapText="right"/>
                <wp:docPr id="541" name="Frame5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within the meaning of applicable Treasury Regulations, during the calendar year in which the sale or other disposition occurs.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44">
                <wp:simplePos x="0" y="0"/>
                <wp:positionH relativeFrom="column">
                  <wp:align>left</wp:align>
                </wp:positionH>
                <wp:positionV relativeFrom="line">
                  <wp:align>top</wp:align>
                </wp:positionV>
                <wp:extent cx="254000" cy="350520"/>
                <wp:effectExtent l="0" t="0" r="0" b="0"/>
                <wp:wrapSquare wrapText="right"/>
                <wp:docPr id="542" name="Frame5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Gain described in the first bullet point above generally will be subject to U.S. federal income tax on a net income basis at the regular U.S. federal income tax rates in the same manner as if such holder were a resident of the United States. A non-U.S. holder that is a corporation also may be subject to an additional branch profits tax equal to 30% (or such lower rate specified by an applicable income tax treaty) of its effectively connected earnings and profits for the taxable year, as adjusted for certain items.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Gain described in the second bullet point above will be subject to U.S. federal income tax at a flat 30% rate (or such lower rate specified by an applicable income tax treaty), but may be offset by certain U.S.-source capital losses of the non-U.S. holder (even though the individual is not considered a resident of the United States), provided that the non-U.S. holder has timely filed U.S. federal income tax returns with respect to such losses.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Determining whether we are a USRPHC depends on the fair market value of our United States real property interests relative to the fair market value of our worldwide real property interests and our other trade or business assets. We believe that we are not currently and we do not anticipate becoming a USRPHC for U.S. federal income tax purposes, although there can be no assurance we have not been, are not currently or will not in the future become a USRPHC. Even if we are treated as a USRPHC, gain realized by a non-U.S. holder on a disposition of our common stock will not be subject to U.S. federal income tax so long as (1) the non-U.S. holder owned, directly, indirectly and constructively, no more than 5% of our common stock at all times within the shorter of (a) the five-year period preceding the disposition or (b) the holder’s holding period and (2) our common stock is “regularly traded” on an “established securities market,” within the meaning of applicable U.S. Treasury Regulations. There can be no assurance that our common stock qualifies as regularly traded on an established securities market for purposes of the rules described above. Prospective investors are encouraged to consult their own tax advisors regarding the possible consequences to them if we have been, are or were to become a USRPHC.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Non-U.S. holders should consult their tax advisors regarding any applicable income tax treaties that may provide for different rules.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Information Reporting and Backup Withholding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Withholding on Foreign Entities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However, proposed regulations under FATCA provide for the elimination of the federal withholding tax of 30% applicable to gross proceeds of a sale or other disposition of from property of a type that can produce U.S.-source dividends or interest. Under these proposed Treasury Regulations (which may be relied upon by taxpayers prior to finalization), FATCA withholding does not apply to gross proceeds from sales or other dispositions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Prospective investors are encouraged to consult with their tax advisors regarding the possible implications of FATCA on their investment in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EACH PROSPECTIVE INVESTOR SHOULD CONSULT ITS TAX ADVISOR REGARDING THE TAX CONSEQUENCES OF ACQUIRING, OWNING AND DISPOSING OF OUR COMMON STOCK, INCLUDING THE CONSEQUENCES OF ANY RECENT AND PROPOSED CHANGE IN APPLICABLE LAW, AS WELL AS TAX CONSEQUENCES ARISING UNDER ANY STATE, LOCAL, NON-U.S. OR U.S. FEDERAL NON-INCOME TAX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UND"/>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UNDERWRITING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Jefferies LLC are the representatives of the underwriters.</w:t>
      </w:r>
      <w:r>
        <w:rPr>
          <w:rFonts w:ascii="Helvetica;Arial;sans-serif" w:hAnsi="Helvetica;Arial;sans-serif"/>
          <w:b w:val="false"/>
          <w:i w:val="false"/>
          <w:caps w:val="false"/>
          <w:smallCaps w:val="false"/>
          <w:color w:val="000000"/>
          <w:spacing w:val="4"/>
          <w:sz w:val="20"/>
        </w:rPr>
        <w:t xml:space="preserve"> </w:t>
      </w:r>
    </w:p>
    <w:tbl>
      <w:tblPr>
        <w:tblW w:w="6005" w:type="dxa"/>
        <w:jc w:val="left"/>
        <w:tblInd w:w="1393" w:type="dxa"/>
        <w:tblLayout w:type="fixed"/>
        <w:tblCellMar>
          <w:top w:w="0" w:type="dxa"/>
          <w:left w:w="0" w:type="dxa"/>
          <w:bottom w:w="42" w:type="dxa"/>
          <w:right w:w="0" w:type="dxa"/>
        </w:tblCellMar>
      </w:tblPr>
      <w:tblGrid>
        <w:gridCol w:w="4120"/>
        <w:gridCol w:w="109"/>
        <w:gridCol w:w="109"/>
        <w:gridCol w:w="109"/>
        <w:gridCol w:w="109"/>
        <w:gridCol w:w="1186"/>
        <w:gridCol w:w="109"/>
        <w:gridCol w:w="154"/>
      </w:tblGrid>
      <w:tr>
        <w:trPr/>
        <w:tc>
          <w:tcPr>
            <w:tcW w:w="4120" w:type="dxa"/>
            <w:tcBorders>
              <w:bottom w:val="single" w:sz="2" w:space="0" w:color="000000"/>
            </w:tcBorders>
            <w:vAlign w:val="center"/>
          </w:tcPr>
          <w:p>
            <w:pPr>
              <w:pStyle w:val="TableContents"/>
              <w:bidi w:val="0"/>
              <w:spacing w:before="0" w:after="0"/>
              <w:jc w:val="left"/>
              <w:rPr>
                <w:spacing w:val="-2"/>
              </w:rPr>
            </w:pPr>
            <w:r>
              <w:rPr>
                <w:spacing w:val="-2"/>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2"/>
              </w:rPr>
              <w:t xml:space="preserve">Number of </w:t>
            </w:r>
            <w:r>
              <w:rPr/>
              <w:br/>
            </w:r>
            <w:r>
              <w:rPr>
                <w:spacing w:val="-2"/>
              </w:rPr>
              <w:t xml:space="preserve">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20" w:type="dxa"/>
            <w:tcBorders/>
            <w:shd w:fill="CCEEFF" w:val="clear"/>
            <w:tcMar>
              <w:bottom w:w="0" w:type="dxa"/>
            </w:tcMar>
            <w:vAlign w:val="center"/>
          </w:tcPr>
          <w:p>
            <w:pPr>
              <w:pStyle w:val="TableContents"/>
              <w:bidi w:val="0"/>
              <w:spacing w:before="0" w:after="0"/>
              <w:jc w:val="left"/>
              <w:rPr>
                <w:spacing w:val="-2"/>
              </w:rPr>
            </w:pPr>
            <w:r>
              <w:rPr>
                <w:spacing w:val="-2"/>
              </w:rPr>
              <w:t xml:space="preserve">Goldman Sachs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0" w:type="dxa"/>
            <w:tcBorders/>
            <w:tcMar>
              <w:bottom w:w="0" w:type="dxa"/>
            </w:tcMar>
            <w:vAlign w:val="center"/>
          </w:tcPr>
          <w:p>
            <w:pPr>
              <w:pStyle w:val="TableContents"/>
              <w:bidi w:val="0"/>
              <w:spacing w:before="0" w:after="0"/>
              <w:jc w:val="left"/>
              <w:rPr>
                <w:spacing w:val="-2"/>
              </w:rPr>
            </w:pPr>
            <w:r>
              <w:rPr>
                <w:spacing w:val="-2"/>
              </w:rPr>
              <w:t xml:space="preserve">Jefferies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0" w:type="dxa"/>
            <w:tcBorders/>
            <w:shd w:fill="CCEEFF" w:val="clear"/>
            <w:tcMar>
              <w:bottom w:w="0" w:type="dxa"/>
            </w:tcMar>
            <w:vAlign w:val="center"/>
          </w:tcPr>
          <w:p>
            <w:pPr>
              <w:pStyle w:val="TableContents"/>
              <w:bidi w:val="0"/>
              <w:spacing w:before="0" w:after="0"/>
              <w:jc w:val="left"/>
              <w:rPr>
                <w:spacing w:val="-2"/>
              </w:rPr>
            </w:pPr>
            <w:r>
              <w:rPr>
                <w:spacing w:val="-2"/>
              </w:rPr>
              <w:t xml:space="preserve">Stifel, Nicolaus &amp; Company, Incorporated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0" w:type="dxa"/>
            <w:tcBorders/>
            <w:tcMar>
              <w:bottom w:w="0" w:type="dxa"/>
            </w:tcMar>
            <w:vAlign w:val="center"/>
          </w:tcPr>
          <w:p>
            <w:pPr>
              <w:pStyle w:val="TableContents"/>
              <w:bidi w:val="0"/>
              <w:spacing w:before="0" w:after="0"/>
              <w:jc w:val="left"/>
              <w:rPr>
                <w:spacing w:val="-2"/>
              </w:rPr>
            </w:pPr>
            <w:r>
              <w:rPr>
                <w:spacing w:val="-2"/>
              </w:rPr>
              <w:t xml:space="preserve">Oppenheimer &amp; Co.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underwriters are committed to take and pay for all of the shares being offered, if any are taken, other than the shares covered by the option described below unless and until this option is exercised.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underwriters have an option to buy up to an additional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shows the per share and total underwriting discounts and commissions to be paid to the underwriters by us. Such amounts are shown assuming both no exercise and full exercise of the underwriters’ option to purchase up to an additional      shares of our common stock from us.</w:t>
      </w:r>
      <w:r>
        <w:rPr>
          <w:rFonts w:ascii="Helvetica;Arial;sans-serif" w:hAnsi="Helvetica;Arial;sans-serif"/>
          <w:b w:val="false"/>
          <w:i w:val="false"/>
          <w:caps w:val="false"/>
          <w:smallCaps w:val="false"/>
          <w:color w:val="000000"/>
          <w:spacing w:val="4"/>
          <w:sz w:val="20"/>
        </w:rPr>
        <w:t xml:space="preserve"> </w:t>
      </w:r>
    </w:p>
    <w:tbl>
      <w:tblPr>
        <w:tblW w:w="4454" w:type="dxa"/>
        <w:jc w:val="left"/>
        <w:tblInd w:w="1393" w:type="dxa"/>
        <w:tblLayout w:type="fixed"/>
        <w:tblCellMar>
          <w:top w:w="0" w:type="dxa"/>
          <w:left w:w="0" w:type="dxa"/>
          <w:bottom w:w="28" w:type="dxa"/>
          <w:right w:w="0" w:type="dxa"/>
        </w:tblCellMar>
      </w:tblPr>
      <w:tblGrid>
        <w:gridCol w:w="1084"/>
        <w:gridCol w:w="109"/>
        <w:gridCol w:w="109"/>
        <w:gridCol w:w="109"/>
        <w:gridCol w:w="226"/>
        <w:gridCol w:w="946"/>
        <w:gridCol w:w="109"/>
        <w:gridCol w:w="109"/>
        <w:gridCol w:w="109"/>
        <w:gridCol w:w="109"/>
        <w:gridCol w:w="226"/>
        <w:gridCol w:w="946"/>
        <w:gridCol w:w="109"/>
        <w:gridCol w:w="154"/>
      </w:tblGrid>
      <w:tr>
        <w:trPr/>
        <w:tc>
          <w:tcPr>
            <w:tcW w:w="108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No Exercise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Full Exercise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84" w:type="dxa"/>
            <w:tcBorders/>
            <w:shd w:fill="CCEEFF" w:val="clear"/>
            <w:tcMar>
              <w:bottom w:w="0" w:type="dxa"/>
            </w:tcMar>
            <w:vAlign w:val="center"/>
          </w:tcPr>
          <w:p>
            <w:pPr>
              <w:pStyle w:val="TableContents"/>
              <w:bidi w:val="0"/>
              <w:spacing w:before="0" w:after="0"/>
              <w:jc w:val="left"/>
              <w:rPr>
                <w:spacing w:val="-2"/>
              </w:rPr>
            </w:pPr>
            <w:r>
              <w:rPr>
                <w:spacing w:val="-2"/>
              </w:rPr>
              <w:t xml:space="preserve">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84" w:type="dxa"/>
            <w:tcBorders/>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their receipt and acceptance of the shares being offered and subject to the underwriters’ right to reject any order in whole or in part.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and our officers, directors, and holders of substantially all of our capital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(collectively, “Lock-Up Securities”) during the period from the date of this prospectus continuing through the date 180 days after the date of this prospectus, except with the prior written consent of Goldman Sachs &amp; Co. LLC and Jefferies LLC. See the section titled “</w:t>
      </w:r>
      <w:r>
        <w:rPr>
          <w:rFonts w:ascii="Helvetica;Arial;sans-serif" w:hAnsi="Helvetica;Arial;sans-serif"/>
          <w:b w:val="false"/>
          <w:i/>
          <w:caps w:val="false"/>
          <w:smallCaps w:val="false"/>
          <w:color w:val="000000"/>
          <w:spacing w:val="-2"/>
          <w:sz w:val="20"/>
        </w:rPr>
        <w:t>Shares Eligible for Future Sale</w:t>
      </w:r>
      <w:r>
        <w:rPr>
          <w:rFonts w:ascii="Helvetica;Arial;sans-serif" w:hAnsi="Helvetica;Arial;sans-serif"/>
          <w:b w:val="false"/>
          <w:i w:val="false"/>
          <w:caps w:val="false"/>
          <w:smallCaps w:val="false"/>
          <w:color w:val="000000"/>
          <w:spacing w:val="-2"/>
          <w:sz w:val="20"/>
        </w:rPr>
        <w:t>” for a discussion of certain transfer restrictions.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restrictions described in the immediately preceding paragraph do not apply to our officers, directors and holders of substantially all of our capital stock and securities convertible into or exchangeable for our common stock with respect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Transfers of Lock-Up Securities (i) as one or more bona fide gifts or charitable contributions, or for bona fide estate planning purposes, (ii) upon death by will, testamentary document or intestate succession, (iii) if the lock-up party is a natural person, to any member of the lock-up party’s immediate family or to any trust for the direct or indirect benefit of such lock-up party or the immediate family of such lock-up party or, if such lock-up party is a trust, to a trust, trustee (or co-trustee) or beneficiary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trust or the estate of a beneficiary of such trust, (iv) to a corporation, partnership, limited liability company, investment fund or other entity (A) of which the lock-up party and the immediate family of the lock-up party are the legal and beneficial owner of all of the outstanding equity securities or similar interests or (B) controlled by, or under common control with, the undersigned or the immediate family of the undersigned, (v) to a nominee or custodian of a person or entity to whom a disposition or transfer would be permissible under clauses (i) through (iv) above, (vi) if the lock-up party is a corporation, partnership, limited liability company, trust or other business entity, (A) to another corporation, partnership, limited liability company or other business entity that is a subsidiary or an affiliate (as defined in Rule 405 under the Securities Act) of such lock-up party, or to any investment fund or other entity which fund or entity is controlled or managed by or under common control or common investment management with the lock-up party or affiliates of such lock-up party (including, for the avoidance of doubt, where the undersigned is a partnership, to its general partner or a successor partnership or fund, or any other funds managed by such partnership), or (B) as part of a disposition, transfer or distribution by the lock-up party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us upon death or disability of the lock-up party, or, if the lock-up party is one of our employees upon death, disability or termination of employment, in each case, of such employee, (ix) if the lock-up party is not one of our officers or directors, in connection with a sale of such lock-up party’s shares of common stock acquired (A) from the underwriters in this offering or (B) in open market transactions after the closing date of this offering, or (x) to us in connection with the vesting, settlement or exercise of restricted stock units, options, warrants or other rights or instruments to purchase or acquire shares of common stock (including, in each case, by way of “net” or “cashless” exercise), including any transfer to us for the payment of tax withholdings or remittance payments due as a result of the vesting, settlement or exercise of such restricted stock units, options, warrants or other rights or instruments, or in connection with the conversion of convertible securities, in all such cases pursuant to equity awards granted under a stock incentive plan or other equity award plan, or pursuant to the terms of convertible securities, each as described in this prospectus, provided that any securities received upon such vesting, settlement, exercise or conversion shall be subject to the terms of the lock-up agreement;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provided that (A) in the case of clauses (i), (ii), (iii), (iv), (v) and (vi) above, such transfer or distribution shall not involve a disposition for value, (B) in the case of clauses (i), (ii), (iii), (iv), (v), (vi) and (vii) above, it shall be a condition to the transfer or distribution that the donee, devisee, transferee or distributee, as the case may be, shall sign and deliver a lock up agreement containing the same restrictions set forth above, (C) in the case of clauses (ii),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(other than a filing on a Form 5 or a filing required pursuant to Section 13 of the Exchange Act and the rules and regulations promulgated thereunder, in each case, made after the expiration of the lock-up period), and (D) in the case of clauses (i),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(i) or (vii) above, that the donee, devisee, transferee or distributee has agreed to be bound by a lock-up agreement containing the same restrictions set forth above.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the lock-up party may (a) enter into a written plan meeting the requirements of Rule 10b5-1 under the Exchange Act relating to the transfer, sale or other disposition of the lock-up party’s Lock-Up Securities, if then permitted by us,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thereto that none of the securities subject to such plan may be transferred, sold or otherwise disposed of pursuant to such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until after the expiration of the lock-up period, (b) transfer the lock-up party’s Lock-Up Securities to us pursuant to an agreement under which we have the option to repurchase shares or a right of first refusal with respect to transfer of such shares, provided that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the circumstances of such transfer or distribution, (c) (i) transfer its Lock-Up Securities pursuant to a bona fide third-party tender offer, merger, consolidation or other similar transaction that is approved by our board of directors and made to all holders of our capital stock involving a change of control of us, in one transaction or a series of related transactions, to a person or group of affiliated persons, of shares of capital stock if, after such transfer, such person or group of affiliated persons would hold at least a majority of our outstanding voting securities (or the voting securities of the surviving entity) and (ii) enter into any lock-up, voting or similar agreement pursuant to which the undersigned may agree to transfer, sell, tender or otherwise dispose of common stock or other such securities in connection with a transaction described in clause (i); provided that in the event that such tender offer, merger, consolidation or other similar transaction is not completed, the lock-up party’s Lock-Up Securities shall remain subject to the provisions of the lock-up agreement, or (d) convert outstanding shares of our convertible preferred stock, warrants to acquire convertible preferred stock or convertible securities into shares of common stock or warrants to acquire shares of common stock, provided that any such shares received upon such conversion shall remain subject to the provisions of the lock-up agreement.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restrictions on transfers or other dispositions by us described above do not apply to us with respect to:        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earnings prospects of us, an assessment of our management and the consideration of the above factors in relation to market valuation of companies in related businesses.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intend to apply to list our common stock on the Nasdaq Global Market under the symbol “CTY.”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estimate that our share of the total expenses of the offering, excluding underwriting discounts and commissions, will be approximately $      .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agreed to indemnify the several underwriters against certain liabilities, including liabilities under the Securities Act. 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may in the future provide a variety of these services to us and to persons and entities with relationships with us, for which they will receive customary fees and expenses.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Selling Restrictions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European Economic Area</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relation to each Member State of the European Economic Area (each, a “Relevant Member State”), an offer to the public of any securities may not be made in that Relevant Member State prior to the publication of a prospectus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Regulation, except that an offer to the public in that Relevant Member State of any securities may be made at any time under the following exemptions under the Prospectus Regulation: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any legal entity which is a “qualified investor” as defined under the Prospectus Regulation;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545">
                <wp:simplePos x="0" y="0"/>
                <wp:positionH relativeFrom="column">
                  <wp:align>left</wp:align>
                </wp:positionH>
                <wp:positionV relativeFrom="line">
                  <wp:align>top</wp:align>
                </wp:positionV>
                <wp:extent cx="254000" cy="350520"/>
                <wp:effectExtent l="0" t="0" r="0" b="0"/>
                <wp:wrapSquare wrapText="right"/>
                <wp:docPr id="543" name="Frame5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fewer than 150 natural or legal persons (other than “qualified investors” as defined under the Prospectus Regulation), subject to obtaining the prior consent of the underwriters for any such offer;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546">
                <wp:simplePos x="0" y="0"/>
                <wp:positionH relativeFrom="column">
                  <wp:align>left</wp:align>
                </wp:positionH>
                <wp:positionV relativeFrom="line">
                  <wp:align>top</wp:align>
                </wp:positionV>
                <wp:extent cx="254000" cy="350520"/>
                <wp:effectExtent l="0" t="0" r="0" b="0"/>
                <wp:wrapSquare wrapText="right"/>
                <wp:docPr id="544" name="Frame5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any other circumstances falling within Article 1(4) of the Prospectus Regulation,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47">
                <wp:simplePos x="0" y="0"/>
                <wp:positionH relativeFrom="column">
                  <wp:align>left</wp:align>
                </wp:positionH>
                <wp:positionV relativeFrom="line">
                  <wp:posOffset>635</wp:posOffset>
                </wp:positionV>
                <wp:extent cx="254000" cy="350520"/>
                <wp:effectExtent l="0" t="0" r="0" b="0"/>
                <wp:wrapSquare wrapText="right"/>
                <wp:docPr id="545" name="Frame5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provided that no such offer of securities shall result in a requirement for the company or any of the underwriters to publish a prospectus pursuant to Article 3 of the Prospectus Regulation or a supplemental prospectus pursuant to Article 23 of the Prospectus Regulation and each person who initially acquires any securities or to whom any offer is made will be deemed to have represented, warranted and agreed to and with each of the underwriters and the company that it is a qualified investor within the meaning of Article 2 of the Prospectus Regulation.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case of any securities being offered to a financial intermediary as that term is used in Article 1(4) of the Prospectus Regulation, each financial intermediary will also be deemed to have represented, warranted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underwriters has been obtained to each such proposed offer or resale.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United Kingdom</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prospectus has been prepared on the basis that the offering of the securities falls within one of the exceptions specified in Part 1 of Schedule 1 of the Public Offers and Admissions to Trading Regulations 2024 (the “POATRs”) and, accordingly, there will not be a prospectus prepared or published for the purposes of the POATRs. This prospectus does not constitute a prospectus for the purposes of the POATRs.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offer to the public of any shares may not be made in the United Kingdom, except that an offer to the public in the United Kingdom of any shares may be made at any time under the following exemptions: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any time to any legal entity which is a qualified investor as defined in paragraph 15 of Schedule 1 to the POATRs;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548">
                <wp:simplePos x="0" y="0"/>
                <wp:positionH relativeFrom="column">
                  <wp:align>left</wp:align>
                </wp:positionH>
                <wp:positionV relativeFrom="line">
                  <wp:align>top</wp:align>
                </wp:positionV>
                <wp:extent cx="254000" cy="350520"/>
                <wp:effectExtent l="0" t="0" r="0" b="0"/>
                <wp:wrapSquare wrapText="right"/>
                <wp:docPr id="546" name="Frame5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any time to fewer than 150 persons (other than qualified investors as defined in paragraph 15 of Schedule 1 to the POATRs) in the United Kingdom subject to obtaining the prior consent of the relevant underwriters nominated by us for any such offer;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549">
                <wp:simplePos x="0" y="0"/>
                <wp:positionH relativeFrom="column">
                  <wp:align>left</wp:align>
                </wp:positionH>
                <wp:positionV relativeFrom="line">
                  <wp:align>top</wp:align>
                </wp:positionV>
                <wp:extent cx="254000" cy="350520"/>
                <wp:effectExtent l="0" t="0" r="0" b="0"/>
                <wp:wrapSquare wrapText="right"/>
                <wp:docPr id="547" name="Frame5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any time in any other circumstances falling within Part 1 of Schedule 1 to the POATRs.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550">
                <wp:simplePos x="0" y="0"/>
                <wp:positionH relativeFrom="column">
                  <wp:align>left</wp:align>
                </wp:positionH>
                <wp:positionV relativeFrom="line">
                  <wp:align>top</wp:align>
                </wp:positionV>
                <wp:extent cx="254000" cy="350520"/>
                <wp:effectExtent l="0" t="0" r="0" b="0"/>
                <wp:wrapSquare wrapText="right"/>
                <wp:docPr id="548" name="Frame5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purposes of this provision, the expression an “offer to the public” in relation to any securities in the United Kingdom means the communication in any form and by any means of sufficient information on the terms of the offer and the securities to be offered so as to enable an investor to decide to purchase or subscribe for the securities.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Canada</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section 3A.3 of National Instrument 33-105 Underwriting Conflicts (NI 33-105), the underwriters are not required to comply with the disclosure requirements of NI 33-105 regarding underwriter conflicts of interest in connection with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Hong Kong</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securities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this prospectus being a “prospectus” as defined in the Companies (Winding Up and Miscellaneous Provisions) Ordinance (Cap. 32 of the Laws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SFO and any rules made thereunder.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Singapore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prospectus has not been registered as a prospectus with the Monetary Authority of Singapore. Accordingly, the securities may not be offered or sold, or made the subject of an invitation for subscription or purchase, nor may this prospectus or any other document or material in connection with the offer or sale, or invitation for subscription or purchase of the securities be circulated,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Japan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securities have not been and will not be registered pursuant to Article 4, Paragraph 1 of the Financial Instruments and Exchange Act.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Australia</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Dubai International Financial Centre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should conduct their own due diligence on the securities. If you do not understand the contents of this prospectus, you should consult an authorized financial advisor.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United Arab Emirates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Dubai Financial Services Authority.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Switzerland</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1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Neither this prospectus nor any other offering or marketing material relating to the offering, us or the securities has been or will be filed with or approved by any Swiss regulatory authority. In particular, this prospectus will not be filed with, and the offer of securities will not be supervised by, FINMA, and the offer of securities has not been and will not be authorized under CISA. The investor protection afforded to acquirers of interests in collective investment schemes under the CISA does not extend to acquirers of the securities.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0240"/>
        <w:ind w:left="13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Brazil</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LEMA"/>
      <w:bookmarkEnd w:id="21"/>
      <w:r>
        <w:rPr>
          <w:rFonts w:ascii="calibri;arial;sans-serif" w:hAnsi="calibri;arial;sans-serif"/>
          <w:b w:val="false"/>
          <w:i w:val="false"/>
          <w:caps w:val="false"/>
          <w:smallCaps w:val="false"/>
          <w:color w:val="000000"/>
          <w:sz w:val="16"/>
        </w:rPr>
        <w:t>​</w:t>
      </w:r>
      <w:bookmarkStart w:id="22" w:name="tEXP"/>
      <w:bookmarkEnd w:id="22"/>
      <w:r>
        <w:rPr>
          <w:rFonts w:ascii="calibri;arial;sans-serif" w:hAnsi="calibri;arial;sans-serif"/>
          <w:b w:val="false"/>
          <w:i w:val="false"/>
          <w:caps w:val="false"/>
          <w:smallCaps w:val="false"/>
          <w:color w:val="000000"/>
          <w:sz w:val="16"/>
        </w:rPr>
        <w:t>​</w:t>
      </w:r>
      <w:bookmarkStart w:id="23" w:name="tWYC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336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LEGAL MATTERS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validity of the shares of our common stock being offered in this prospectus will be passed upon for us by Goodwin Procter LLP. Cooley LLP is representing the underwriters in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EXPERTS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consolidated financial statements as of December 31, 2025 and 2024 and for the years then ended included in this prospectus have been so included in reliance on the report of PricewaterhouseCoopers LLP, an independent registered public accounting firm, given on the authority of said firm as experts in auditing and accounting.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WHERE YOU CAN FIND ADDITIONAL INFORMATION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We have filed with the Securities and Exchange Commission (the “SEC”) a registration statement on Form S-1 (File Number 333-     )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t>
      </w:r>
      <w:r>
        <w:rPr>
          <w:rFonts w:ascii="Helvetica;Arial;sans-serif" w:hAnsi="Helvetica;Arial;sans-serif"/>
          <w:b w:val="false"/>
          <w:i/>
          <w:caps w:val="false"/>
          <w:smallCaps w:val="false"/>
          <w:color w:val="000000"/>
          <w:spacing w:val="-2"/>
          <w:sz w:val="20"/>
        </w:rPr>
        <w:t>www.sec.gov</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currently do not file periodic reports with the SEC. 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website of the SEC referred to above.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We also maintain a website at </w:t>
      </w:r>
      <w:r>
        <w:rPr>
          <w:rFonts w:ascii="Helvetica;Arial;sans-serif" w:hAnsi="Helvetica;Arial;sans-serif"/>
          <w:b w:val="false"/>
          <w:i/>
          <w:caps w:val="false"/>
          <w:smallCaps w:val="false"/>
          <w:color w:val="000000"/>
          <w:spacing w:val="-2"/>
          <w:sz w:val="20"/>
        </w:rPr>
        <w:t>www.citytx.com</w:t>
      </w:r>
      <w:r>
        <w:rPr>
          <w:rFonts w:ascii="Helvetica;Arial;sans-serif" w:hAnsi="Helvetica;Arial;sans-serif"/>
          <w:b w:val="false"/>
          <w:i w:val="false"/>
          <w:caps w:val="false"/>
          <w:smallCaps w:val="false"/>
          <w:color w:val="000000"/>
          <w:spacing w:val="-2"/>
          <w:sz w:val="20"/>
        </w:rPr>
        <w:t>. Information contained in, or accessible through, our website is not a part of this prospectus, and the inclusion of our website address in this prospectus is only as an inactive textual reference. Upon completion of this offering, you may access, free of charge, our annual reports on Form 10-K, quarterly reports on Form 10-Q, current reports on Form 8-K and amendments to those reported filed or furnished pursuant to Section 13(a) or 15(d) of the Exchange Act as soon as reasonably practicable after such material is electronically filed with, or furnished to, the SEC.</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OC2"/>
      <w:bookmarkEnd w:id="24"/>
      <w:r>
        <w:rPr>
          <w:rFonts w:ascii="calibri;arial;sans-serif" w:hAnsi="calibri;arial;sans-serif"/>
          <w:b w:val="false"/>
          <w:i w:val="false"/>
          <w:caps w:val="false"/>
          <w:smallCaps w:val="false"/>
          <w:color w:val="000000"/>
          <w:sz w:val="16"/>
        </w:rPr>
        <w:t>​</w:t>
      </w:r>
      <w:bookmarkStart w:id="25" w:name="tICF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01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CITY THERAPEUTICS, INC.</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INDEX TO THE CONSOLIDATED FINANCIAL STATEMENTS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79"/>
        <w:gridCol w:w="109"/>
        <w:gridCol w:w="109"/>
        <w:gridCol w:w="109"/>
        <w:gridCol w:w="109"/>
        <w:gridCol w:w="433"/>
        <w:gridCol w:w="109"/>
        <w:gridCol w:w="155"/>
      </w:tblGrid>
      <w:tr>
        <w:trPr/>
        <w:tc>
          <w:tcPr>
            <w:tcW w:w="76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79" w:type="dxa"/>
            <w:tcBorders/>
            <w:shd w:fill="CCEEFF" w:val="clear"/>
            <w:tcMar>
              <w:bottom w:w="0" w:type="dxa"/>
            </w:tcMar>
            <w:vAlign w:val="center"/>
          </w:tcPr>
          <w:p>
            <w:pPr>
              <w:pStyle w:val="TableContents"/>
              <w:bidi w:val="0"/>
              <w:spacing w:before="0" w:after="0"/>
              <w:jc w:val="left"/>
              <w:rPr/>
            </w:pPr>
            <w:hyperlink w:anchor="fROIR">
              <w:r>
                <w:rPr>
                  <w:rStyle w:val="InternetLink"/>
                  <w:spacing w:val="-2"/>
                </w:rPr>
                <w:t xml:space="preserve">Report of Independent Registered Public Accounting Firm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33" w:type="dxa"/>
            <w:tcBorders/>
            <w:shd w:fill="CCEEFF" w:val="clear"/>
            <w:tcMar>
              <w:bottom w:w="0" w:type="dxa"/>
            </w:tcMar>
            <w:vAlign w:val="center"/>
          </w:tcPr>
          <w:p>
            <w:pPr>
              <w:pStyle w:val="TableContents"/>
              <w:bidi w:val="0"/>
              <w:spacing w:before="0" w:after="283"/>
              <w:jc w:val="right"/>
              <w:rPr/>
            </w:pPr>
            <w:hyperlink w:anchor="fROIR">
              <w:r>
                <w:rPr>
                  <w:rStyle w:val="InternetLink"/>
                  <w:spacing w:val="-2"/>
                </w:rPr>
                <w:t>F-2</w:t>
              </w:r>
            </w:hyperlink>
            <w:hyperlink w:anchor="fROI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79" w:type="dxa"/>
            <w:tcBorders/>
            <w:tcMar>
              <w:bottom w:w="0" w:type="dxa"/>
            </w:tcMar>
            <w:vAlign w:val="center"/>
          </w:tcPr>
          <w:p>
            <w:pPr>
              <w:pStyle w:val="TableContents"/>
              <w:bidi w:val="0"/>
              <w:spacing w:before="0" w:after="0"/>
              <w:jc w:val="left"/>
              <w:rPr/>
            </w:pPr>
            <w:hyperlink w:anchor="fCBS">
              <w:r>
                <w:rPr>
                  <w:rStyle w:val="InternetLink"/>
                  <w:spacing w:val="-2"/>
                </w:rPr>
                <w:t xml:space="preserve">Consolidated Balance Sheets as of December 31, 2024 and 2025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33" w:type="dxa"/>
            <w:tcBorders/>
            <w:tcMar>
              <w:bottom w:w="0" w:type="dxa"/>
            </w:tcMar>
            <w:vAlign w:val="center"/>
          </w:tcPr>
          <w:p>
            <w:pPr>
              <w:pStyle w:val="TableContents"/>
              <w:bidi w:val="0"/>
              <w:spacing w:before="0" w:after="283"/>
              <w:jc w:val="right"/>
              <w:rPr/>
            </w:pPr>
            <w:hyperlink w:anchor="fCBS">
              <w:r>
                <w:rPr>
                  <w:rStyle w:val="InternetLink"/>
                  <w:spacing w:val="-2"/>
                </w:rPr>
                <w:t>F-3</w:t>
              </w:r>
            </w:hyperlink>
            <w:hyperlink w:anchor="fCB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79" w:type="dxa"/>
            <w:tcBorders/>
            <w:shd w:fill="CCEEFF" w:val="clear"/>
            <w:tcMar>
              <w:bottom w:w="0" w:type="dxa"/>
            </w:tcMar>
            <w:vAlign w:val="center"/>
          </w:tcPr>
          <w:p>
            <w:pPr>
              <w:pStyle w:val="TableContents"/>
              <w:bidi w:val="0"/>
              <w:spacing w:before="0" w:after="283"/>
              <w:jc w:val="left"/>
              <w:rPr/>
            </w:pPr>
            <w:hyperlink w:anchor="fCSOO">
              <w:r>
                <w:rPr>
                  <w:rStyle w:val="InternetLink"/>
                  <w:spacing w:val="-2"/>
                </w:rPr>
                <w:t xml:space="preserve">Consolidated Statements of Operations and Comprehensive Loss for the years ended December 31, 2024 and 2025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33" w:type="dxa"/>
            <w:tcBorders/>
            <w:shd w:fill="CCEEFF" w:val="clear"/>
            <w:tcMar>
              <w:bottom w:w="0" w:type="dxa"/>
            </w:tcMar>
            <w:vAlign w:val="center"/>
          </w:tcPr>
          <w:p>
            <w:pPr>
              <w:pStyle w:val="TableContents"/>
              <w:bidi w:val="0"/>
              <w:spacing w:before="0" w:after="283"/>
              <w:jc w:val="right"/>
              <w:rPr/>
            </w:pPr>
            <w:hyperlink w:anchor="fCSOO">
              <w:r>
                <w:rPr>
                  <w:rStyle w:val="InternetLink"/>
                  <w:spacing w:val="-2"/>
                </w:rPr>
                <w:t>F-4</w:t>
              </w:r>
            </w:hyperlink>
            <w:hyperlink w:anchor="fCSO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79" w:type="dxa"/>
            <w:tcBorders/>
            <w:tcMar>
              <w:bottom w:w="0" w:type="dxa"/>
            </w:tcMar>
            <w:vAlign w:val="center"/>
          </w:tcPr>
          <w:p>
            <w:pPr>
              <w:pStyle w:val="TableContents"/>
              <w:bidi w:val="0"/>
              <w:spacing w:before="0" w:after="283"/>
              <w:jc w:val="left"/>
              <w:rPr/>
            </w:pPr>
            <w:hyperlink w:anchor="fCSOC">
              <w:r>
                <w:rPr>
                  <w:rStyle w:val="InternetLink"/>
                  <w:spacing w:val="-2"/>
                </w:rPr>
                <w:t xml:space="preserve">Consolidated Statements of Convertible Preferred Stock and Stockholders’ Deficit for the years </w:t>
              </w:r>
            </w:hyperlink>
            <w:hyperlink w:anchor="fCSOC">
              <w:r>
                <w:rPr>
                  <w:rStyle w:val="InternetLink"/>
                </w:rPr>
                <w:br/>
              </w:r>
            </w:hyperlink>
            <w:hyperlink w:anchor="fCSOC">
              <w:r>
                <w:rPr>
                  <w:rStyle w:val="InternetLink"/>
                  <w:spacing w:val="-2"/>
                </w:rPr>
                <w:t xml:space="preserve">ended December 31, 2024 and 2025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33" w:type="dxa"/>
            <w:tcBorders/>
            <w:tcMar>
              <w:bottom w:w="0" w:type="dxa"/>
            </w:tcMar>
            <w:vAlign w:val="center"/>
          </w:tcPr>
          <w:p>
            <w:pPr>
              <w:pStyle w:val="TableContents"/>
              <w:bidi w:val="0"/>
              <w:spacing w:before="0" w:after="283"/>
              <w:jc w:val="right"/>
              <w:rPr/>
            </w:pPr>
            <w:hyperlink w:anchor="fCSOC">
              <w:r>
                <w:rPr>
                  <w:rStyle w:val="InternetLink"/>
                  <w:spacing w:val="-2"/>
                </w:rPr>
                <w:t>F-5</w:t>
              </w:r>
            </w:hyperlink>
            <w:hyperlink w:anchor="fCS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79" w:type="dxa"/>
            <w:tcBorders/>
            <w:shd w:fill="CCEEFF" w:val="clear"/>
            <w:tcMar>
              <w:bottom w:w="0" w:type="dxa"/>
            </w:tcMar>
            <w:vAlign w:val="center"/>
          </w:tcPr>
          <w:p>
            <w:pPr>
              <w:pStyle w:val="TableContents"/>
              <w:bidi w:val="0"/>
              <w:spacing w:before="0" w:after="0"/>
              <w:jc w:val="left"/>
              <w:rPr/>
            </w:pPr>
            <w:hyperlink w:anchor="fCSOC1">
              <w:r>
                <w:rPr>
                  <w:rStyle w:val="InternetLink"/>
                  <w:spacing w:val="-2"/>
                </w:rPr>
                <w:t xml:space="preserve">Consolidated Statements of Cash Flows for the years ended December 31, 2024 and 2025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33" w:type="dxa"/>
            <w:tcBorders/>
            <w:shd w:fill="CCEEFF" w:val="clear"/>
            <w:tcMar>
              <w:bottom w:w="0" w:type="dxa"/>
            </w:tcMar>
            <w:vAlign w:val="center"/>
          </w:tcPr>
          <w:p>
            <w:pPr>
              <w:pStyle w:val="TableContents"/>
              <w:bidi w:val="0"/>
              <w:spacing w:before="0" w:after="283"/>
              <w:jc w:val="right"/>
              <w:rPr/>
            </w:pPr>
            <w:hyperlink w:anchor="fCSOC1">
              <w:r>
                <w:rPr>
                  <w:rStyle w:val="InternetLink"/>
                  <w:spacing w:val="-2"/>
                </w:rPr>
                <w:t>F-6</w:t>
              </w:r>
            </w:hyperlink>
            <w:hyperlink w:anchor="fCSOC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79" w:type="dxa"/>
            <w:tcBorders/>
            <w:tcMar>
              <w:bottom w:w="0" w:type="dxa"/>
            </w:tcMar>
            <w:vAlign w:val="center"/>
          </w:tcPr>
          <w:p>
            <w:pPr>
              <w:pStyle w:val="TableContents"/>
              <w:bidi w:val="0"/>
              <w:spacing w:before="0" w:after="0"/>
              <w:jc w:val="left"/>
              <w:rPr/>
            </w:pPr>
            <w:hyperlink w:anchor="fNTCF">
              <w:r>
                <w:rPr>
                  <w:rStyle w:val="InternetLink"/>
                  <w:spacing w:val="-2"/>
                </w:rPr>
                <w:t xml:space="preserve">Notes to Consolidated Financial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33" w:type="dxa"/>
            <w:tcBorders/>
            <w:tcMar>
              <w:bottom w:w="0" w:type="dxa"/>
            </w:tcMar>
            <w:vAlign w:val="center"/>
          </w:tcPr>
          <w:p>
            <w:pPr>
              <w:pStyle w:val="TableContents"/>
              <w:bidi w:val="0"/>
              <w:spacing w:before="0" w:after="283"/>
              <w:jc w:val="right"/>
              <w:rPr/>
            </w:pPr>
            <w:hyperlink w:anchor="fNTCF">
              <w:r>
                <w:rPr>
                  <w:rStyle w:val="InternetLink"/>
                  <w:spacing w:val="-2"/>
                </w:rPr>
                <w:t>F-7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fROIR"/>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0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w:t>
      </w:r>
      <w:r>
        <w:rPr>
          <w:rFonts w:ascii="Helvetica;Arial;sans-serif" w:hAnsi="Helvetica;Arial;sans-serif"/>
          <w:b/>
          <w:i w:val="false"/>
          <w:caps/>
          <w:color w:val="000000"/>
          <w:spacing w:val="-2"/>
          <w:sz w:val="20"/>
        </w:rPr>
        <w:t>eport of Independent Registered Public Accounting Firm</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the Board of Directors and Stockholders of City Therapeutics, Inc.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Opinion on the Financial Statements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audited the accompanying consolidated balance sheets of City Therapeutics, Inc. and its subsidiary (the “Company”) as of December 31, 2025 and 2024, and the related consolidated statements of operations and comprehensive loss, convertible preferred stock and stockholders’ deficit,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Basis for Opinion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conducted our audits of these consolidated financial statements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w:t>
      </w:r>
      <w:r>
        <w:rPr>
          <w:rFonts w:ascii="Helvetica;Arial;sans-serif" w:hAnsi="Helvetica;Arial;sans-serif"/>
          <w:b w:val="false"/>
          <w:i w:val="false"/>
          <w:caps w:val="false"/>
          <w:smallCaps w:val="false"/>
          <w:color w:val="000000"/>
          <w:sz w:val="20"/>
        </w:rPr>
        <w:t>​</w:t>
      </w:r>
      <w:r>
        <w:rPr>
          <w:rFonts w:ascii="Helvetica;Arial;sans-serif" w:hAnsi="Helvetica;Arial;sans-serif"/>
          <w:b w:val="false"/>
          <w:i w:val="false"/>
          <w:caps w:val="false"/>
          <w:smallCaps w:val="false"/>
          <w:color w:val="000000"/>
          <w:spacing w:val="-2"/>
          <w:sz w:val="20"/>
        </w:rPr>
        <w:t xml:space="preserve"> PricewaterhouseCoopers LLP </w:t>
      </w:r>
      <w:r>
        <w:rPr>
          <w:rFonts w:ascii="Helvetica;Arial;sans-serif" w:hAnsi="Helvetica;Arial;sans-serif"/>
          <w:b w:val="false"/>
          <w:i w:val="false"/>
          <w:caps w:val="false"/>
          <w:smallCaps w:val="false"/>
          <w:color w:val="000000"/>
          <w:sz w:val="20"/>
        </w:rPr>
        <w:br/>
      </w:r>
      <w:r>
        <w:rPr>
          <w:rFonts w:ascii="Helvetica;Arial;sans-serif" w:hAnsi="Helvetica;Arial;sans-serif"/>
          <w:b w:val="false"/>
          <w:i w:val="false"/>
          <w:caps w:val="false"/>
          <w:smallCaps w:val="false"/>
          <w:color w:val="000000"/>
          <w:spacing w:val="-2"/>
          <w:sz w:val="20"/>
        </w:rPr>
        <w:t xml:space="preserve">Boston, Massachusetts </w:t>
      </w:r>
      <w:r>
        <w:rPr>
          <w:rFonts w:ascii="Helvetica;Arial;sans-serif" w:hAnsi="Helvetica;Arial;sans-serif"/>
          <w:b w:val="false"/>
          <w:i w:val="false"/>
          <w:caps w:val="false"/>
          <w:smallCaps w:val="false"/>
          <w:color w:val="000000"/>
          <w:sz w:val="20"/>
        </w:rPr>
        <w:br/>
      </w:r>
      <w:r>
        <w:rPr>
          <w:rFonts w:ascii="Helvetica;Arial;sans-serif" w:hAnsi="Helvetica;Arial;sans-serif"/>
          <w:b w:val="false"/>
          <w:i w:val="false"/>
          <w:caps w:val="false"/>
          <w:smallCaps w:val="false"/>
          <w:color w:val="000000"/>
          <w:spacing w:val="-2"/>
          <w:sz w:val="20"/>
        </w:rPr>
        <w:t>July 14,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served as the Company’s auditor since 2025.</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fCBS"/>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CONSOLIDATED BALANCE SHEETS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(IN THOUSANDS, EXCEPT SHARE AND PER SHARE AMOUNTS)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540"/>
        <w:gridCol w:w="109"/>
        <w:gridCol w:w="109"/>
        <w:gridCol w:w="109"/>
        <w:gridCol w:w="226"/>
        <w:gridCol w:w="894"/>
        <w:gridCol w:w="109"/>
        <w:gridCol w:w="109"/>
        <w:gridCol w:w="109"/>
        <w:gridCol w:w="109"/>
        <w:gridCol w:w="226"/>
        <w:gridCol w:w="898"/>
        <w:gridCol w:w="109"/>
        <w:gridCol w:w="156"/>
      </w:tblGrid>
      <w:tr>
        <w:trPr/>
        <w:tc>
          <w:tcPr>
            <w:tcW w:w="55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98"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December 31,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8"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2"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283"/>
              <w:jc w:val="left"/>
              <w:rPr/>
            </w:pPr>
            <w:r>
              <w:rPr>
                <w:spacing w:val="-2"/>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tcMar>
              <w:bottom w:w="0" w:type="dxa"/>
            </w:tcMar>
            <w:vAlign w:val="center"/>
          </w:tcPr>
          <w:p>
            <w:pPr>
              <w:pStyle w:val="TableContents"/>
              <w:bidi w:val="0"/>
              <w:spacing w:before="0" w:after="283"/>
              <w:jc w:val="left"/>
              <w:rPr>
                <w:spacing w:val="-2"/>
              </w:rPr>
            </w:pPr>
            <w:r>
              <w:rPr>
                <w:spacing w:val="-2"/>
              </w:rPr>
              <w:t xml:space="preserve">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126,899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112,793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tcMar>
              <w:bottom w:w="0" w:type="dxa"/>
            </w:tcMar>
            <w:vAlign w:val="center"/>
          </w:tcPr>
          <w:p>
            <w:pPr>
              <w:pStyle w:val="TableContents"/>
              <w:bidi w:val="0"/>
              <w:spacing w:before="0" w:after="0"/>
              <w:ind w:left="200" w:right="0" w:hanging="0"/>
              <w:jc w:val="left"/>
              <w:rPr>
                <w:spacing w:val="-2"/>
              </w:rPr>
            </w:pPr>
            <w:r>
              <w:rPr>
                <w:spacing w:val="-2"/>
              </w:rPr>
              <w:t xml:space="preserve">Accounts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1,209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0"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Prepaid expenses and other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651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98" w:type="dxa"/>
            <w:tcBorders>
              <w:bottom w:val="single" w:sz="2" w:space="0" w:color="000000"/>
            </w:tcBorders>
            <w:shd w:fill="CCEEFF" w:val="clear"/>
            <w:vAlign w:val="center"/>
          </w:tcPr>
          <w:p>
            <w:pPr>
              <w:pStyle w:val="TableContents"/>
              <w:bidi w:val="0"/>
              <w:spacing w:before="0" w:after="283"/>
              <w:jc w:val="right"/>
              <w:rPr/>
            </w:pPr>
            <w:r>
              <w:rPr/>
              <w:t xml:space="preserve">2,871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40" w:type="dxa"/>
            <w:tcBorders/>
            <w:tcMar>
              <w:bottom w:w="0" w:type="dxa"/>
            </w:tcMar>
            <w:vAlign w:val="center"/>
          </w:tcPr>
          <w:p>
            <w:pPr>
              <w:pStyle w:val="TableContents"/>
              <w:bidi w:val="0"/>
              <w:spacing w:before="0" w:after="0"/>
              <w:ind w:left="400" w:right="0" w:hanging="0"/>
              <w:jc w:val="left"/>
              <w:rPr>
                <w:spacing w:val="-2"/>
              </w:rPr>
            </w:pPr>
            <w:r>
              <w:rPr>
                <w:spacing w:val="-2"/>
              </w:rPr>
              <w:t xml:space="preserve">Total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128,902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116,873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4,362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5,489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right-of-use asset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10,516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24,857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1,528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2,504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Other non-current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45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8" w:type="dxa"/>
            <w:tcBorders>
              <w:bottom w:val="single" w:sz="2" w:space="0" w:color="000000"/>
            </w:tcBorders>
            <w:vAlign w:val="center"/>
          </w:tcPr>
          <w:p>
            <w:pPr>
              <w:pStyle w:val="TableContents"/>
              <w:bidi w:val="0"/>
              <w:spacing w:before="0" w:after="283"/>
              <w:jc w:val="right"/>
              <w:rPr/>
            </w:pPr>
            <w:r>
              <w:rPr/>
              <w:t xml:space="preserve">45 </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0"/>
              <w:ind w:left="400" w:right="0" w:hanging="0"/>
              <w:jc w:val="left"/>
              <w:rPr>
                <w:b/>
              </w:rPr>
            </w:pPr>
            <w:r>
              <w:rPr>
                <w:b/>
                <w:spacing w:val="-2"/>
              </w:rPr>
              <w:t>Total assets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94" w:type="dxa"/>
            <w:tcBorders>
              <w:bottom w:val="double" w:sz="8" w:space="0" w:color="000000"/>
            </w:tcBorders>
            <w:shd w:fill="CCEEFF" w:val="clear"/>
            <w:vAlign w:val="center"/>
          </w:tcPr>
          <w:p>
            <w:pPr>
              <w:pStyle w:val="TableContents"/>
              <w:bidi w:val="0"/>
              <w:spacing w:before="0" w:after="283"/>
              <w:jc w:val="right"/>
              <w:rPr/>
            </w:pPr>
            <w:r>
              <w:rPr/>
              <w:t xml:space="preserve">145,353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98" w:type="dxa"/>
            <w:tcBorders>
              <w:bottom w:val="double" w:sz="8" w:space="0" w:color="000000"/>
            </w:tcBorders>
            <w:shd w:fill="CCEEFF" w:val="clear"/>
            <w:vAlign w:val="center"/>
          </w:tcPr>
          <w:p>
            <w:pPr>
              <w:pStyle w:val="TableContents"/>
              <w:bidi w:val="0"/>
              <w:spacing w:before="0" w:after="283"/>
              <w:jc w:val="right"/>
              <w:rPr/>
            </w:pPr>
            <w:r>
              <w:rPr/>
              <w:t xml:space="preserve">149,768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tcMar>
              <w:bottom w:w="0" w:type="dxa"/>
            </w:tcMar>
            <w:vAlign w:val="center"/>
          </w:tcPr>
          <w:p>
            <w:pPr>
              <w:pStyle w:val="TableContents"/>
              <w:bidi w:val="0"/>
              <w:spacing w:before="0" w:after="283"/>
              <w:jc w:val="left"/>
              <w:rPr/>
            </w:pPr>
            <w:r>
              <w:rPr>
                <w:spacing w:val="-2"/>
              </w:rPr>
              <w:t>Liabilities, convertible preferred stock and stockholders’ deficit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283"/>
              <w:jc w:val="left"/>
              <w:rPr>
                <w:spacing w:val="-2"/>
              </w:rPr>
            </w:pPr>
            <w:r>
              <w:rPr>
                <w:spacing w:val="-2"/>
              </w:rPr>
              <w:t xml:space="preserve">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tcMar>
              <w:bottom w:w="0" w:type="dxa"/>
            </w:tcMar>
            <w:vAlign w:val="center"/>
          </w:tcPr>
          <w:p>
            <w:pPr>
              <w:pStyle w:val="TableContents"/>
              <w:bidi w:val="0"/>
              <w:spacing w:before="0" w:after="0"/>
              <w:ind w:left="200" w:right="0" w:hanging="0"/>
              <w:jc w:val="left"/>
              <w:rPr>
                <w:spacing w:val="-2"/>
              </w:rPr>
            </w:pPr>
            <w:r>
              <w:rPr>
                <w:spacing w:val="-2"/>
              </w:rPr>
              <w:t xml:space="preserve">Accounts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2,339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2,695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Convertible notes,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10,805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liability,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3,092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5,075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Deferred revenue,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11,255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tcMar>
              <w:bottom w:w="0" w:type="dxa"/>
            </w:tcMar>
            <w:vAlign w:val="center"/>
          </w:tcPr>
          <w:p>
            <w:pPr>
              <w:pStyle w:val="TableContents"/>
              <w:bidi w:val="0"/>
              <w:spacing w:before="0" w:after="0"/>
              <w:ind w:left="200" w:right="0" w:hanging="0"/>
              <w:jc w:val="left"/>
              <w:rPr>
                <w:spacing w:val="-2"/>
              </w:rPr>
            </w:pPr>
            <w:r>
              <w:rPr>
                <w:spacing w:val="-2"/>
              </w:rPr>
              <w:t xml:space="preserve">Accrued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2,642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Accrued expenses and 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1,289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 xml:space="preserve">5,570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bottom w:val="single" w:sz="2" w:space="0" w:color="FFFFFF"/>
            </w:tcBorders>
            <w:vAlign w:val="center"/>
          </w:tcPr>
          <w:p>
            <w:pPr>
              <w:pStyle w:val="TableContents"/>
              <w:bidi w:val="0"/>
              <w:spacing w:before="0" w:after="0"/>
              <w:ind w:left="400" w:right="0" w:hanging="0"/>
              <w:jc w:val="left"/>
              <w:rPr>
                <w:spacing w:val="-2"/>
              </w:rPr>
            </w:pPr>
            <w:r>
              <w:rPr>
                <w:spacing w:val="-2"/>
              </w:rPr>
              <w:t xml:space="preserve">Total current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20,742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8" w:type="dxa"/>
            <w:tcBorders>
              <w:bottom w:val="single" w:sz="2" w:space="0" w:color="000000"/>
            </w:tcBorders>
            <w:vAlign w:val="center"/>
          </w:tcPr>
          <w:p>
            <w:pPr>
              <w:pStyle w:val="TableContents"/>
              <w:bidi w:val="0"/>
              <w:spacing w:before="0" w:after="283"/>
              <w:jc w:val="right"/>
              <w:rPr/>
            </w:pPr>
            <w:r>
              <w:rPr/>
              <w:t>38,042</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Operating lease liability,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8,927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20,341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tcMar>
              <w:bottom w:w="0" w:type="dxa"/>
            </w:tcMar>
            <w:vAlign w:val="center"/>
          </w:tcPr>
          <w:p>
            <w:pPr>
              <w:pStyle w:val="TableContents"/>
              <w:bidi w:val="0"/>
              <w:spacing w:before="0" w:after="0"/>
              <w:ind w:left="200" w:right="0" w:hanging="0"/>
              <w:jc w:val="left"/>
              <w:rPr>
                <w:spacing w:val="-2"/>
              </w:rPr>
            </w:pPr>
            <w:r>
              <w:rPr>
                <w:spacing w:val="-2"/>
              </w:rPr>
              <w:t xml:space="preserve">Convertible notes, non-current,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31,063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Other liabilities,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Deferred revenue, non-current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595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8" w:type="dxa"/>
            <w:tcBorders>
              <w:bottom w:val="single" w:sz="2" w:space="0" w:color="000000"/>
            </w:tcBorders>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30,264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89,909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tcMar>
              <w:bottom w:w="0" w:type="dxa"/>
            </w:tcMar>
            <w:vAlign w:val="center"/>
          </w:tcPr>
          <w:p>
            <w:pPr>
              <w:pStyle w:val="TableContents"/>
              <w:bidi w:val="0"/>
              <w:spacing w:before="0" w:after="283"/>
              <w:jc w:val="left"/>
              <w:rPr>
                <w:spacing w:val="-2"/>
              </w:rPr>
            </w:pPr>
            <w:r>
              <w:rPr>
                <w:spacing w:val="-2"/>
              </w:rPr>
              <w:t xml:space="preserve">Commitments and contingencies (Note 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Seed convertible preferred stock, $0.0001 par value; 4,544,990 and 4,544,990 shares authorized as of December 31, 2024, and 2025; 4,544,990 and 4,544,990 shares issued and outstanding as of December 31, 2024, and 2025; aggregate liquidation preference of $4,545 and $4,545 as of December 31, 2024 and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tcMar>
              <w:bottom w:w="0" w:type="dxa"/>
            </w:tcMar>
            <w:vAlign w:val="center"/>
          </w:tcPr>
          <w:p>
            <w:pPr>
              <w:pStyle w:val="TableContents"/>
              <w:bidi w:val="0"/>
              <w:spacing w:before="0" w:after="0"/>
              <w:ind w:left="200" w:right="0" w:hanging="200"/>
              <w:jc w:val="left"/>
              <w:rPr/>
            </w:pPr>
            <w:r>
              <w:rPr>
                <w:spacing w:val="-2"/>
              </w:rPr>
              <w:t xml:space="preserve">Series A convertible preferred stock, $0.0001 par value; 14,295,436 and </w:t>
            </w:r>
            <w:r>
              <w:rPr/>
              <w:br/>
            </w:r>
            <w:r>
              <w:rPr>
                <w:spacing w:val="-2"/>
              </w:rPr>
              <w:t xml:space="preserve">14,295,436 shares authorized as of December 31, 2024, and 2025; 13,996,318 </w:t>
            </w:r>
            <w:r>
              <w:rPr/>
              <w:br/>
            </w:r>
            <w:r>
              <w:rPr>
                <w:spacing w:val="-2"/>
              </w:rPr>
              <w:t xml:space="preserve">and 13,996,318 shares issued and outstanding as of December 31, 2024, and </w:t>
            </w:r>
            <w:r>
              <w:rPr/>
              <w:br/>
            </w:r>
            <w:r>
              <w:rPr>
                <w:spacing w:val="-2"/>
              </w:rPr>
              <w:t xml:space="preserve">2025; aggregate liquidation preference of $140,376 and $140,376 as of </w:t>
            </w:r>
            <w:r>
              <w:rPr/>
              <w:br/>
            </w:r>
            <w:r>
              <w:rPr>
                <w:spacing w:val="-2"/>
              </w:rPr>
              <w:t xml:space="preserve">December 31, 2024 and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283"/>
              <w:jc w:val="left"/>
              <w:rPr>
                <w:spacing w:val="-2"/>
              </w:rPr>
            </w:pPr>
            <w:r>
              <w:rPr>
                <w:spacing w:val="-2"/>
              </w:rPr>
              <w:t xml:space="preserve">Stockholders’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tcMar>
              <w:bottom w:w="0" w:type="dxa"/>
            </w:tcMar>
            <w:vAlign w:val="center"/>
          </w:tcPr>
          <w:p>
            <w:pPr>
              <w:pStyle w:val="TableContents"/>
              <w:bidi w:val="0"/>
              <w:spacing w:before="0" w:after="0"/>
              <w:ind w:left="400" w:right="0" w:hanging="200"/>
              <w:jc w:val="left"/>
              <w:rPr/>
            </w:pPr>
            <w:r>
              <w:rPr>
                <w:spacing w:val="-2"/>
              </w:rPr>
              <w:t xml:space="preserve">Common stock, $0.0001 par value; 30,000,000 and 30,000,000 shares </w:t>
            </w:r>
            <w:r>
              <w:rPr/>
              <w:br/>
            </w:r>
            <w:r>
              <w:rPr>
                <w:spacing w:val="-2"/>
              </w:rPr>
              <w:t xml:space="preserve">authorized as of December 31, 2024, and 2025; 5,915,726 and 7,076,593 </w:t>
            </w:r>
            <w:r>
              <w:rPr/>
              <w:br/>
            </w:r>
            <w:r>
              <w:rPr>
                <w:spacing w:val="-2"/>
              </w:rPr>
              <w:t xml:space="preserve">shares issued as of December 31, 2024, and 2025; 4,076,142 and 5,181,249 </w:t>
            </w:r>
            <w:r>
              <w:rPr/>
              <w:br/>
            </w:r>
            <w:r>
              <w:rPr>
                <w:spacing w:val="-2"/>
              </w:rPr>
              <w:t xml:space="preserve">shares outstanding as of December 31, 2024, and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4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4,449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40"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Accumulated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(30,599)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8" w:type="dxa"/>
            <w:tcBorders>
              <w:bottom w:val="single" w:sz="2" w:space="0" w:color="000000"/>
            </w:tcBorders>
            <w:vAlign w:val="center"/>
          </w:tcPr>
          <w:p>
            <w:pPr>
              <w:pStyle w:val="TableContents"/>
              <w:bidi w:val="0"/>
              <w:spacing w:before="0" w:after="283"/>
              <w:jc w:val="right"/>
              <w:rPr/>
            </w:pPr>
            <w:r>
              <w:rPr/>
              <w:t xml:space="preserve">(89,104) </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40" w:type="dxa"/>
            <w:tcBorders>
              <w:bottom w:val="single" w:sz="2" w:space="0" w:color="CCEEFF"/>
            </w:tcBorders>
            <w:shd w:fill="CCEEFF" w:val="clear"/>
            <w:vAlign w:val="center"/>
          </w:tcPr>
          <w:p>
            <w:pPr>
              <w:pStyle w:val="TableContents"/>
              <w:bidi w:val="0"/>
              <w:spacing w:before="0" w:after="0"/>
              <w:ind w:left="400" w:right="0" w:hanging="0"/>
              <w:jc w:val="left"/>
              <w:rPr>
                <w:spacing w:val="-2"/>
              </w:rPr>
            </w:pPr>
            <w:r>
              <w:rPr>
                <w:spacing w:val="-2"/>
              </w:rPr>
              <w:t xml:space="preserve">Total stockholders’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(29,425)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98" w:type="dxa"/>
            <w:tcBorders>
              <w:bottom w:val="single" w:sz="2" w:space="0" w:color="000000"/>
            </w:tcBorders>
            <w:shd w:fill="CCEEFF" w:val="clear"/>
            <w:vAlign w:val="center"/>
          </w:tcPr>
          <w:p>
            <w:pPr>
              <w:pStyle w:val="TableContents"/>
              <w:bidi w:val="0"/>
              <w:spacing w:before="0" w:after="283"/>
              <w:jc w:val="right"/>
              <w:rPr/>
            </w:pPr>
            <w:r>
              <w:rPr/>
              <w:t xml:space="preserve">(84,655)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40" w:type="dxa"/>
            <w:tcBorders/>
            <w:tcMar>
              <w:bottom w:w="0" w:type="dxa"/>
            </w:tcMar>
            <w:vAlign w:val="center"/>
          </w:tcPr>
          <w:p>
            <w:pPr>
              <w:pStyle w:val="TableContents"/>
              <w:bidi w:val="0"/>
              <w:spacing w:before="0" w:after="0"/>
              <w:ind w:left="400" w:right="0" w:hanging="0"/>
              <w:jc w:val="left"/>
              <w:rPr>
                <w:b/>
              </w:rPr>
            </w:pPr>
            <w:r>
              <w:rPr>
                <w:b/>
                <w:spacing w:val="-2"/>
              </w:rPr>
              <w:t>Total liabilities, convertible preferred stock and stockholders’ deficit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894" w:type="dxa"/>
            <w:tcBorders>
              <w:bottom w:val="double" w:sz="8" w:space="0" w:color="000000"/>
            </w:tcBorders>
            <w:vAlign w:val="center"/>
          </w:tcPr>
          <w:p>
            <w:pPr>
              <w:pStyle w:val="TableContents"/>
              <w:bidi w:val="0"/>
              <w:spacing w:before="0" w:after="283"/>
              <w:jc w:val="right"/>
              <w:rPr/>
            </w:pPr>
            <w:r>
              <w:rPr/>
              <w:t xml:space="preserve">145,353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898" w:type="dxa"/>
            <w:tcBorders>
              <w:bottom w:val="double" w:sz="8" w:space="0" w:color="000000"/>
            </w:tcBorders>
            <w:vAlign w:val="center"/>
          </w:tcPr>
          <w:p>
            <w:pPr>
              <w:pStyle w:val="TableContents"/>
              <w:bidi w:val="0"/>
              <w:spacing w:before="0" w:after="283"/>
              <w:jc w:val="right"/>
              <w:rPr/>
            </w:pPr>
            <w:r>
              <w:rPr/>
              <w:t>149,768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fCSOO"/>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5450"/>
        <w:ind w:left="1393" w:right="0" w:hanging="0"/>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CONSOLIDATED STATEMENTS OF OPERATIONS AND COMPREHENSIVE LOSS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(IN THOUSANDS, EXCEPT SHARE AND PER SHARE AMOUNTS)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02"/>
        <w:gridCol w:w="109"/>
        <w:gridCol w:w="109"/>
        <w:gridCol w:w="109"/>
        <w:gridCol w:w="226"/>
        <w:gridCol w:w="1066"/>
        <w:gridCol w:w="109"/>
        <w:gridCol w:w="109"/>
        <w:gridCol w:w="109"/>
        <w:gridCol w:w="109"/>
        <w:gridCol w:w="226"/>
        <w:gridCol w:w="1066"/>
        <w:gridCol w:w="109"/>
        <w:gridCol w:w="154"/>
      </w:tblGrid>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jc w:val="left"/>
              <w:rPr>
                <w:spacing w:val="-2"/>
              </w:rPr>
            </w:pPr>
            <w:r>
              <w:rPr>
                <w:spacing w:val="-2"/>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pPr>
            <w:r>
              <w:rPr>
                <w:spacing w:val="-2"/>
              </w:rPr>
              <w:t>Research and development</w:t>
            </w:r>
            <w:r>
              <w:rPr>
                <w:spacing w:val="-2"/>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25,682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58,420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tcMar>
              <w:bottom w:w="50" w:type="dxa"/>
            </w:tcMar>
            <w:vAlign w:val="center"/>
          </w:tcPr>
          <w:p>
            <w:pPr>
              <w:pStyle w:val="TableContents"/>
              <w:bidi w:val="0"/>
              <w:spacing w:lineRule="atLeast" w:line="142" w:before="0" w:after="0"/>
              <w:ind w:left="200" w:right="0" w:hanging="0"/>
              <w:jc w:val="left"/>
              <w:rPr/>
            </w:pPr>
            <w:r>
              <w:rPr>
                <w:spacing w:val="-2"/>
              </w:rPr>
              <w:t>General and administrative</w:t>
            </w:r>
            <w:r>
              <w:rPr>
                <w:spacing w:val="-2"/>
                <w:sz w:val="13"/>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6,186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15,064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31,868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73,484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02"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Loss from operations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(29,090)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(59,922)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spacing w:val="-2"/>
              </w:rPr>
            </w:pPr>
            <w:r>
              <w:rPr>
                <w:spacing w:val="-2"/>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2"/>
              </w:rPr>
            </w:pPr>
            <w:r>
              <w:rPr>
                <w:spacing w:val="-2"/>
              </w:rPr>
              <w:t xml:space="preserve">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Other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(695)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(534)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other income,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1,254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1,417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jc w:val="left"/>
              <w:rPr>
                <w:spacing w:val="-2"/>
              </w:rPr>
            </w:pPr>
            <w:r>
              <w:rPr>
                <w:spacing w:val="-2"/>
              </w:rPr>
              <w:t xml:space="preserve">Net loss and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 xml:space="preserve">(27,836)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 xml:space="preserve">(58,505)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jc w:val="left"/>
              <w:rPr>
                <w:spacing w:val="-2"/>
              </w:rPr>
            </w:pPr>
            <w:r>
              <w:rPr>
                <w:spacing w:val="-2"/>
              </w:rPr>
              <w:t xml:space="preserve">Net loss per share,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jc w:val="left"/>
              <w:rPr>
                <w:spacing w:val="-2"/>
              </w:rPr>
            </w:pPr>
            <w:r>
              <w:rPr>
                <w:spacing w:val="-2"/>
              </w:rPr>
              <w:t xml:space="preserve">Weighted-average common shares outstanding,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3,403,747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4,696,166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Includes related party amounts of $3.6 million and $5.3 million for research and development expenses for the years ended December 31, 2024 and 2025, respectively. See Note 17 — Related Parties.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8900" distB="0" distL="0" distR="0" simplePos="0" locked="0" layoutInCell="1" allowOverlap="1" relativeHeight="551">
                <wp:simplePos x="0" y="0"/>
                <wp:positionH relativeFrom="column">
                  <wp:align>left</wp:align>
                </wp:positionH>
                <wp:positionV relativeFrom="line">
                  <wp:align>top</wp:align>
                </wp:positionV>
                <wp:extent cx="254000" cy="233680"/>
                <wp:effectExtent l="0" t="0" r="0" b="0"/>
                <wp:wrapSquare wrapText="right"/>
                <wp:docPr id="549" name="Frame52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Includes related party amounts of $0.7 million and $1.1 million for general and administrative expenses for the years ended December 31, 2024 and 2025, respectively. See Note 17 — Related Parties.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52">
                <wp:simplePos x="0" y="0"/>
                <wp:positionH relativeFrom="column">
                  <wp:align>left</wp:align>
                </wp:positionH>
                <wp:positionV relativeFrom="line">
                  <wp:align>top</wp:align>
                </wp:positionV>
                <wp:extent cx="254000" cy="233680"/>
                <wp:effectExtent l="0" t="0" r="0" b="0"/>
                <wp:wrapSquare wrapText="right"/>
                <wp:docPr id="550" name="Frame52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fCSOC"/>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40"/>
        <w:ind w:left="1393" w:right="0" w:hanging="0"/>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CONSOLIDATED STATEMENTS OF CONVERTIBLE PREFERRED STOCK AND STOCKHOLDERS’ DEFICIT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(IN THOUSANDS, EXCEPT SHARE AMOUNTS)</w:t>
      </w:r>
      <w:r>
        <w:rPr>
          <w:rFonts w:ascii="Helvetica;Arial;sans-serif" w:hAnsi="Helvetica;Arial;sans-serif"/>
          <w:b/>
          <w:i w:val="false"/>
          <w:caps w:val="false"/>
          <w:smallCaps w:val="false"/>
          <w:color w:val="000000"/>
          <w:spacing w:val="4"/>
          <w:sz w:val="20"/>
        </w:rPr>
        <w:t xml:space="preserve"> </w:t>
      </w:r>
    </w:p>
    <w:tbl>
      <w:tblPr>
        <w:tblW w:w="15148" w:type="dxa"/>
        <w:jc w:val="left"/>
        <w:tblInd w:w="543" w:type="dxa"/>
        <w:tblLayout w:type="fixed"/>
        <w:tblCellMar>
          <w:top w:w="0" w:type="dxa"/>
          <w:left w:w="0" w:type="dxa"/>
          <w:bottom w:w="28" w:type="dxa"/>
          <w:right w:w="0" w:type="dxa"/>
        </w:tblCellMar>
      </w:tblPr>
      <w:tblGrid>
        <w:gridCol w:w="1500"/>
        <w:gridCol w:w="109"/>
        <w:gridCol w:w="109"/>
        <w:gridCol w:w="109"/>
        <w:gridCol w:w="109"/>
        <w:gridCol w:w="1066"/>
        <w:gridCol w:w="109"/>
        <w:gridCol w:w="109"/>
        <w:gridCol w:w="109"/>
        <w:gridCol w:w="109"/>
        <w:gridCol w:w="226"/>
        <w:gridCol w:w="646"/>
        <w:gridCol w:w="109"/>
        <w:gridCol w:w="109"/>
        <w:gridCol w:w="109"/>
        <w:gridCol w:w="109"/>
        <w:gridCol w:w="109"/>
        <w:gridCol w:w="1186"/>
        <w:gridCol w:w="109"/>
        <w:gridCol w:w="109"/>
        <w:gridCol w:w="109"/>
        <w:gridCol w:w="109"/>
        <w:gridCol w:w="226"/>
        <w:gridCol w:w="886"/>
        <w:gridCol w:w="109"/>
        <w:gridCol w:w="109"/>
        <w:gridCol w:w="109"/>
        <w:gridCol w:w="109"/>
        <w:gridCol w:w="109"/>
        <w:gridCol w:w="109"/>
        <w:gridCol w:w="1066"/>
        <w:gridCol w:w="109"/>
        <w:gridCol w:w="109"/>
        <w:gridCol w:w="109"/>
        <w:gridCol w:w="109"/>
        <w:gridCol w:w="226"/>
        <w:gridCol w:w="432"/>
        <w:gridCol w:w="109"/>
        <w:gridCol w:w="109"/>
        <w:gridCol w:w="109"/>
        <w:gridCol w:w="109"/>
        <w:gridCol w:w="226"/>
        <w:gridCol w:w="647"/>
        <w:gridCol w:w="111"/>
        <w:gridCol w:w="109"/>
        <w:gridCol w:w="109"/>
        <w:gridCol w:w="109"/>
        <w:gridCol w:w="226"/>
        <w:gridCol w:w="902"/>
        <w:gridCol w:w="109"/>
        <w:gridCol w:w="109"/>
        <w:gridCol w:w="109"/>
        <w:gridCol w:w="117"/>
        <w:gridCol w:w="244"/>
        <w:gridCol w:w="909"/>
        <w:gridCol w:w="119"/>
        <w:gridCol w:w="154"/>
      </w:tblGrid>
      <w:tr>
        <w:trPr/>
        <w:tc>
          <w:tcPr>
            <w:tcW w:w="15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1" w:type="dxa"/>
            <w:gridSpan w:val="10"/>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 xml:space="preserve">Series Seed </w:t>
            </w:r>
            <w:r>
              <w:rPr/>
              <w:br/>
            </w:r>
            <w:r>
              <w:rPr>
                <w:spacing w:val="-2"/>
              </w:rPr>
              <w:t>Convertible</w:t>
            </w:r>
            <w:r>
              <w:rPr/>
              <w:t xml:space="preserve"> </w:t>
              <w:br/>
            </w:r>
            <w:r>
              <w:rPr>
                <w:spacing w:val="-2"/>
              </w:rPr>
              <w:t xml:space="preserve">Preferred </w:t>
            </w:r>
            <w:r>
              <w:rPr/>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61" w:type="dxa"/>
            <w:gridSpan w:val="10"/>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 xml:space="preserve">Series A </w:t>
            </w:r>
            <w:r>
              <w:rPr/>
              <w:br/>
            </w:r>
            <w:r>
              <w:rPr>
                <w:spacing w:val="-2"/>
              </w:rPr>
              <w:t xml:space="preserve">Convertible </w:t>
            </w:r>
            <w:r>
              <w:rPr/>
              <w:br/>
            </w:r>
            <w:r>
              <w:rPr>
                <w:spacing w:val="-2"/>
              </w:rPr>
              <w:t xml:space="preserve">Preferred </w:t>
            </w:r>
            <w:r>
              <w:rPr/>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87"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3"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Additional</w:t>
            </w:r>
            <w:r>
              <w:rPr/>
              <w:t xml:space="preserve"> </w:t>
              <w:br/>
            </w:r>
            <w:r>
              <w:rPr>
                <w:spacing w:val="-2"/>
              </w:rPr>
              <w:t>Paid-In</w:t>
            </w:r>
            <w:r>
              <w:rPr/>
              <w:t xml:space="preserve"> </w:t>
              <w:br/>
            </w:r>
            <w:r>
              <w:rPr>
                <w:spacing w:val="-2"/>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4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Accumulated</w:t>
            </w:r>
            <w:r>
              <w:rPr/>
              <w:t xml:space="preserve"> </w:t>
              <w:br/>
            </w:r>
            <w:r>
              <w:rPr>
                <w:spacing w:val="-2"/>
              </w:rPr>
              <w:t xml:space="preserve">Deficit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89"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2"/>
              </w:rPr>
              <w:t>Total</w:t>
            </w:r>
            <w:r>
              <w:rPr/>
              <w:t xml:space="preserve"> </w:t>
              <w:br/>
            </w:r>
            <w:r>
              <w:rPr>
                <w:spacing w:val="-2"/>
              </w:rPr>
              <w:t>Stockholders’</w:t>
            </w:r>
            <w:r>
              <w:rPr/>
              <w:t xml:space="preserve"> </w:t>
              <w:br/>
            </w:r>
            <w:r>
              <w:rPr>
                <w:spacing w:val="-2"/>
              </w:rPr>
              <w:t xml:space="preserve">Deficit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5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6" w:type="dxa"/>
            <w:gridSpan w:val="4"/>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3"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46"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89"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500" w:type="dxa"/>
            <w:tcBorders/>
            <w:shd w:fill="CCEEFF" w:val="clear"/>
            <w:tcMar>
              <w:bottom w:w="0" w:type="dxa"/>
            </w:tcMar>
            <w:vAlign w:val="center"/>
          </w:tcPr>
          <w:p>
            <w:pPr>
              <w:pStyle w:val="TableContents"/>
              <w:bidi w:val="0"/>
              <w:spacing w:before="0" w:after="0"/>
              <w:jc w:val="left"/>
              <w:rPr>
                <w:b/>
              </w:rPr>
            </w:pPr>
            <w:r>
              <w:rPr>
                <w:b/>
                <w:spacing w:val="-2"/>
              </w:rPr>
              <w:t>Balance as of January 1, 2024</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4,519,990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3,042,060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45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(2,763)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(2,718)</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lineRule="atLeast" w:line="192" w:before="0" w:after="0"/>
              <w:ind w:left="160" w:right="0" w:hanging="160"/>
              <w:jc w:val="left"/>
              <w:rPr/>
            </w:pPr>
            <w:r>
              <w:rPr>
                <w:spacing w:val="-2"/>
              </w:rPr>
              <w:t xml:space="preserve">Issuance of Series Seed convertible </w:t>
            </w:r>
            <w:r>
              <w:rPr/>
              <w:br/>
            </w:r>
            <w:r>
              <w:rPr>
                <w:spacing w:val="-2"/>
              </w:rPr>
              <w:t xml:space="preserve">preferred stock, net of issuance costs of </w:t>
            </w:r>
            <w:r>
              <w:rPr/>
              <w:br/>
            </w:r>
            <w:r>
              <w:rPr>
                <w:spacing w:val="-2"/>
              </w:rPr>
              <w:t xml:space="preserve">$1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lineRule="atLeast" w:line="192" w:before="0" w:after="0"/>
              <w:ind w:left="160" w:right="0" w:hanging="160"/>
              <w:jc w:val="left"/>
              <w:rPr/>
            </w:pPr>
            <w:r>
              <w:rPr>
                <w:spacing w:val="-2"/>
              </w:rPr>
              <w:t xml:space="preserve">Issuance of Series A convertible preferred </w:t>
            </w:r>
            <w:r>
              <w:rPr/>
              <w:br/>
            </w:r>
            <w:r>
              <w:rPr>
                <w:spacing w:val="-2"/>
              </w:rPr>
              <w:t xml:space="preserve">stock, net of issuance costs of $336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13,435,354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134,414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lineRule="atLeast" w:line="192" w:before="0" w:after="0"/>
              <w:ind w:left="160" w:right="0" w:hanging="160"/>
              <w:jc w:val="left"/>
              <w:rPr/>
            </w:pPr>
            <w:r>
              <w:rPr>
                <w:spacing w:val="-2"/>
              </w:rPr>
              <w:t xml:space="preserve">Conversion of convertible debt to Series A </w:t>
            </w:r>
            <w:r>
              <w:rPr/>
              <w:br/>
            </w:r>
            <w:r>
              <w:rPr>
                <w:spacing w:val="-2"/>
              </w:rPr>
              <w:t xml:space="preserve">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560,964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lineRule="atLeast" w:line="192" w:before="0" w:after="0"/>
              <w:ind w:left="160" w:right="0" w:hanging="160"/>
              <w:jc w:val="left"/>
              <w:rPr>
                <w:spacing w:val="-2"/>
              </w:rPr>
            </w:pPr>
            <w:r>
              <w:rPr>
                <w:spacing w:val="-2"/>
              </w:rPr>
              <w:t xml:space="preserve">Issuance of common stock in exchange for settlement of antidilution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29,522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124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124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before="0" w:after="0"/>
              <w:jc w:val="left"/>
              <w:rPr>
                <w:spacing w:val="-2"/>
              </w:rPr>
            </w:pPr>
            <w:r>
              <w:rPr>
                <w:spacing w:val="-2"/>
              </w:rPr>
              <w:t xml:space="preserve">Vesting of restricted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1,004,560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before="0" w:after="0"/>
              <w:jc w:val="left"/>
              <w:rPr>
                <w:spacing w:val="-2"/>
              </w:rPr>
            </w:pPr>
            <w:r>
              <w:rPr>
                <w:spacing w:val="-2"/>
              </w:rPr>
              <w:t xml:space="preserve">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1,005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1,005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bottom w:val="single" w:sz="2" w:space="0" w:color="FFFFFF"/>
            </w:tcBorders>
            <w:tcMar>
              <w:bottom w:w="56" w:type="dxa"/>
            </w:tcMar>
            <w:vAlign w:val="center"/>
          </w:tcPr>
          <w:p>
            <w:pPr>
              <w:pStyle w:val="TableContents"/>
              <w:bidi w:val="0"/>
              <w:spacing w:before="0" w:after="0"/>
              <w:jc w:val="left"/>
              <w:rPr>
                <w:spacing w:val="-2"/>
              </w:rPr>
            </w:pPr>
            <w:r>
              <w:rPr>
                <w:spacing w:val="-2"/>
              </w:rPr>
              <w:t xml:space="preserve">Net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106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64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88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106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432"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647" w:type="dxa"/>
            <w:tcBorders>
              <w:bottom w:val="single" w:sz="2" w:space="0" w:color="000000"/>
            </w:tcBorders>
            <w:tcMar>
              <w:bottom w:w="56" w:type="dxa"/>
            </w:tcMar>
            <w:vAlign w:val="center"/>
          </w:tcPr>
          <w:p>
            <w:pPr>
              <w:pStyle w:val="TableContents"/>
              <w:bidi w:val="0"/>
              <w:spacing w:before="0" w:after="283"/>
              <w:jc w:val="righ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6" w:type="dxa"/>
            </w:tcMar>
            <w:vAlign w:val="center"/>
          </w:tcPr>
          <w:p>
            <w:pPr>
              <w:pStyle w:val="TableContents"/>
              <w:bidi w:val="0"/>
              <w:spacing w:before="0" w:after="283"/>
              <w:jc w:val="right"/>
              <w:rPr/>
            </w:pPr>
            <w:r>
              <w:rPr/>
              <w:t>​</w:t>
            </w:r>
          </w:p>
        </w:tc>
        <w:tc>
          <w:tcPr>
            <w:tcW w:w="902" w:type="dxa"/>
            <w:tcBorders>
              <w:bottom w:val="single" w:sz="2" w:space="0" w:color="000000"/>
            </w:tcBorders>
            <w:tcMar>
              <w:bottom w:w="56" w:type="dxa"/>
            </w:tcMar>
            <w:vAlign w:val="center"/>
          </w:tcPr>
          <w:p>
            <w:pPr>
              <w:pStyle w:val="TableContents"/>
              <w:bidi w:val="0"/>
              <w:spacing w:before="0" w:after="283"/>
              <w:jc w:val="right"/>
              <w:rPr/>
            </w:pPr>
            <w:r>
              <w:rPr/>
              <w:t>(27,836)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56" w:type="dxa"/>
            </w:tcMar>
            <w:vAlign w:val="center"/>
          </w:tcPr>
          <w:p>
            <w:pPr>
              <w:pStyle w:val="TableContents"/>
              <w:bidi w:val="0"/>
              <w:spacing w:before="0" w:after="283"/>
              <w:jc w:val="right"/>
              <w:rPr/>
            </w:pPr>
            <w:r>
              <w:rPr/>
              <w:t>​</w:t>
            </w:r>
          </w:p>
        </w:tc>
        <w:tc>
          <w:tcPr>
            <w:tcW w:w="909" w:type="dxa"/>
            <w:tcBorders>
              <w:bottom w:val="single" w:sz="2" w:space="0" w:color="000000"/>
            </w:tcBorders>
            <w:tcMar>
              <w:bottom w:w="56" w:type="dxa"/>
            </w:tcMar>
            <w:vAlign w:val="center"/>
          </w:tcPr>
          <w:p>
            <w:pPr>
              <w:pStyle w:val="TableContents"/>
              <w:bidi w:val="0"/>
              <w:spacing w:before="0" w:after="283"/>
              <w:jc w:val="right"/>
              <w:rPr/>
            </w:pPr>
            <w:r>
              <w:rPr/>
              <w:t>(27,836)</w:t>
            </w:r>
          </w:p>
        </w:tc>
        <w:tc>
          <w:tcPr>
            <w:tcW w:w="11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before="0" w:after="0"/>
              <w:jc w:val="left"/>
              <w:rPr>
                <w:b/>
              </w:rPr>
            </w:pPr>
            <w:r>
              <w:rPr>
                <w:b/>
                <w:spacing w:val="-2"/>
              </w:rPr>
              <w:t>Balance as of December 31, 2024</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6"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6"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6" w:type="dxa"/>
            </w:tcMar>
            <w:vAlign w:val="center"/>
          </w:tcPr>
          <w:p>
            <w:pPr>
              <w:pStyle w:val="TableContents"/>
              <w:bidi w:val="0"/>
              <w:spacing w:before="0" w:after="283"/>
              <w:jc w:val="right"/>
              <w:rPr/>
            </w:pPr>
            <w:r>
              <w:rPr/>
              <w:t>13,996,318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6" w:type="dxa"/>
            </w:tcMar>
            <w:vAlign w:val="center"/>
          </w:tcPr>
          <w:p>
            <w:pPr>
              <w:pStyle w:val="TableContents"/>
              <w:bidi w:val="0"/>
              <w:spacing w:before="0" w:after="283"/>
              <w:jc w:val="right"/>
              <w:rPr/>
            </w:pPr>
            <w:r>
              <w:rPr/>
              <w:t>140,039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6" w:type="dxa"/>
            </w:tcMar>
            <w:vAlign w:val="center"/>
          </w:tcPr>
          <w:p>
            <w:pPr>
              <w:pStyle w:val="TableContents"/>
              <w:bidi w:val="0"/>
              <w:spacing w:before="0" w:after="283"/>
              <w:jc w:val="right"/>
              <w:rPr/>
            </w:pPr>
            <w:r>
              <w:rPr/>
              <w:t>4,076,142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432"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647" w:type="dxa"/>
            <w:tcBorders>
              <w:bottom w:val="double" w:sz="8" w:space="0" w:color="000000"/>
            </w:tcBorders>
            <w:shd w:fill="CCEEFF" w:val="clear"/>
            <w:tcMar>
              <w:bottom w:w="56" w:type="dxa"/>
            </w:tcMar>
            <w:vAlign w:val="center"/>
          </w:tcPr>
          <w:p>
            <w:pPr>
              <w:pStyle w:val="TableContents"/>
              <w:bidi w:val="0"/>
              <w:spacing w:before="0" w:after="283"/>
              <w:jc w:val="right"/>
              <w:rPr/>
            </w:pPr>
            <w:r>
              <w:rPr/>
              <w:t>1,174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902" w:type="dxa"/>
            <w:tcBorders>
              <w:bottom w:val="double" w:sz="8" w:space="0" w:color="000000"/>
            </w:tcBorders>
            <w:shd w:fill="CCEEFF" w:val="clear"/>
            <w:tcMar>
              <w:bottom w:w="56" w:type="dxa"/>
            </w:tcMar>
            <w:vAlign w:val="center"/>
          </w:tcPr>
          <w:p>
            <w:pPr>
              <w:pStyle w:val="TableContents"/>
              <w:bidi w:val="0"/>
              <w:spacing w:before="0" w:after="283"/>
              <w:jc w:val="right"/>
              <w:rPr/>
            </w:pPr>
            <w:r>
              <w:rPr/>
              <w:t>(30,599)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bottom w:val="double" w:sz="8" w:space="0" w:color="000000"/>
            </w:tcBorders>
            <w:shd w:fill="CCEEFF" w:val="clear"/>
            <w:tcMar>
              <w:bottom w:w="56" w:type="dxa"/>
            </w:tcMar>
            <w:vAlign w:val="center"/>
          </w:tcPr>
          <w:p>
            <w:pPr>
              <w:pStyle w:val="TableContents"/>
              <w:bidi w:val="0"/>
              <w:spacing w:before="0" w:after="283"/>
              <w:jc w:val="right"/>
              <w:rPr/>
            </w:pPr>
            <w:r>
              <w:rPr/>
              <w:t>$</w:t>
            </w:r>
          </w:p>
        </w:tc>
        <w:tc>
          <w:tcPr>
            <w:tcW w:w="909" w:type="dxa"/>
            <w:tcBorders>
              <w:bottom w:val="double" w:sz="8" w:space="0" w:color="000000"/>
            </w:tcBorders>
            <w:shd w:fill="CCEEFF" w:val="clear"/>
            <w:tcMar>
              <w:bottom w:w="56" w:type="dxa"/>
            </w:tcMar>
            <w:vAlign w:val="center"/>
          </w:tcPr>
          <w:p>
            <w:pPr>
              <w:pStyle w:val="TableContents"/>
              <w:bidi w:val="0"/>
              <w:spacing w:before="0" w:after="283"/>
              <w:jc w:val="right"/>
              <w:rPr/>
            </w:pPr>
            <w:r>
              <w:rPr/>
              <w:t>(29,425)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before="0" w:after="0"/>
              <w:ind w:left="160" w:right="0" w:hanging="160"/>
              <w:jc w:val="left"/>
              <w:rPr/>
            </w:pPr>
            <w:r>
              <w:rPr>
                <w:spacing w:val="-2"/>
              </w:rPr>
              <w:t xml:space="preserve">Issuance of common stock from exercised </w:t>
            </w:r>
            <w:r>
              <w:rPr/>
              <w:br/>
            </w:r>
            <w:r>
              <w:rPr>
                <w:spacing w:val="-2"/>
              </w:rPr>
              <w:t xml:space="preserve">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384,098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278</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278</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shd w:fill="CCEEFF" w:val="clear"/>
            <w:tcMar>
              <w:bottom w:w="0" w:type="dxa"/>
            </w:tcMar>
            <w:vAlign w:val="center"/>
          </w:tcPr>
          <w:p>
            <w:pPr>
              <w:pStyle w:val="TableContents"/>
              <w:bidi w:val="0"/>
              <w:spacing w:before="0" w:after="0"/>
              <w:jc w:val="left"/>
              <w:rPr>
                <w:spacing w:val="-2"/>
              </w:rPr>
            </w:pPr>
            <w:r>
              <w:rPr>
                <w:spacing w:val="-2"/>
              </w:rPr>
              <w:t xml:space="preserve">Vesting of restricted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721,009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before="0" w:after="0"/>
              <w:jc w:val="left"/>
              <w:rPr>
                <w:spacing w:val="-2"/>
              </w:rPr>
            </w:pPr>
            <w:r>
              <w:rPr>
                <w:spacing w:val="-2"/>
              </w:rPr>
              <w:t xml:space="preserve">Stock-based compensation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2,997</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2,997</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00" w:type="dxa"/>
            <w:tcBorders>
              <w:bottom w:val="single" w:sz="2" w:space="0" w:color="CCEEFF"/>
            </w:tcBorders>
            <w:shd w:fill="CCEEFF" w:val="clear"/>
            <w:tcMar>
              <w:bottom w:w="56" w:type="dxa"/>
            </w:tcMar>
            <w:vAlign w:val="center"/>
          </w:tcPr>
          <w:p>
            <w:pPr>
              <w:pStyle w:val="TableContents"/>
              <w:bidi w:val="0"/>
              <w:spacing w:before="0" w:after="0"/>
              <w:jc w:val="left"/>
              <w:rPr>
                <w:spacing w:val="-2"/>
              </w:rPr>
            </w:pPr>
            <w:r>
              <w:rPr>
                <w:spacing w:val="-2"/>
              </w:rPr>
              <w:t xml:space="preserve">Net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432"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647"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902" w:type="dxa"/>
            <w:tcBorders>
              <w:bottom w:val="single" w:sz="2" w:space="0" w:color="000000"/>
            </w:tcBorders>
            <w:shd w:fill="CCEEFF" w:val="clear"/>
            <w:tcMar>
              <w:bottom w:w="56" w:type="dxa"/>
            </w:tcMar>
            <w:vAlign w:val="center"/>
          </w:tcPr>
          <w:p>
            <w:pPr>
              <w:pStyle w:val="TableContents"/>
              <w:bidi w:val="0"/>
              <w:spacing w:before="0" w:after="283"/>
              <w:jc w:val="right"/>
              <w:rPr/>
            </w:pPr>
            <w:r>
              <w:rPr/>
              <w:t>(58,505)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56"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56" w:type="dxa"/>
            </w:tcMar>
            <w:vAlign w:val="center"/>
          </w:tcPr>
          <w:p>
            <w:pPr>
              <w:pStyle w:val="TableContents"/>
              <w:bidi w:val="0"/>
              <w:spacing w:before="0" w:after="283"/>
              <w:jc w:val="right"/>
              <w:rPr/>
            </w:pPr>
            <w:r>
              <w:rPr/>
              <w:t>(58,505)</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00" w:type="dxa"/>
            <w:tcBorders/>
            <w:tcMar>
              <w:bottom w:w="0" w:type="dxa"/>
            </w:tcMar>
            <w:vAlign w:val="center"/>
          </w:tcPr>
          <w:p>
            <w:pPr>
              <w:pStyle w:val="TableContents"/>
              <w:bidi w:val="0"/>
              <w:spacing w:before="0" w:after="0"/>
              <w:jc w:val="left"/>
              <w:rPr>
                <w:b/>
              </w:rPr>
            </w:pPr>
            <w:r>
              <w:rPr>
                <w:b/>
                <w:spacing w:val="-2"/>
              </w:rPr>
              <w:t>Balance as of December 31, 2025</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6" w:type="dxa"/>
            </w:tcMar>
            <w:vAlign w:val="center"/>
          </w:tcPr>
          <w:p>
            <w:pPr>
              <w:pStyle w:val="TableContents"/>
              <w:bidi w:val="0"/>
              <w:spacing w:before="0" w:after="283"/>
              <w:jc w:val="right"/>
              <w:rPr/>
            </w:pPr>
            <w:r>
              <w:rPr/>
              <w:t>​</w:t>
            </w:r>
          </w:p>
        </w:tc>
        <w:tc>
          <w:tcPr>
            <w:tcW w:w="1066" w:type="dxa"/>
            <w:tcBorders>
              <w:bottom w:val="double" w:sz="8" w:space="0" w:color="000000"/>
            </w:tcBorders>
            <w:tcMar>
              <w:bottom w:w="56" w:type="dxa"/>
            </w:tcMar>
            <w:vAlign w:val="center"/>
          </w:tcPr>
          <w:p>
            <w:pPr>
              <w:pStyle w:val="TableContents"/>
              <w:bidi w:val="0"/>
              <w:spacing w:before="0" w:after="283"/>
              <w:jc w:val="right"/>
              <w:rPr/>
            </w:pPr>
            <w:r>
              <w:rPr/>
              <w:t>4,544,990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646" w:type="dxa"/>
            <w:tcBorders>
              <w:bottom w:val="double" w:sz="8" w:space="0" w:color="000000"/>
            </w:tcBorders>
            <w:tcMar>
              <w:bottom w:w="56" w:type="dxa"/>
            </w:tcMar>
            <w:vAlign w:val="center"/>
          </w:tcPr>
          <w:p>
            <w:pPr>
              <w:pStyle w:val="TableContents"/>
              <w:bidi w:val="0"/>
              <w:spacing w:before="0" w:after="283"/>
              <w:jc w:val="right"/>
              <w:rPr/>
            </w:pPr>
            <w:r>
              <w:rPr/>
              <w:t>4,475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6" w:type="dxa"/>
            </w:tcMar>
            <w:vAlign w:val="center"/>
          </w:tcPr>
          <w:p>
            <w:pPr>
              <w:pStyle w:val="TableContents"/>
              <w:bidi w:val="0"/>
              <w:spacing w:before="0" w:after="283"/>
              <w:jc w:val="right"/>
              <w:rPr/>
            </w:pPr>
            <w:r>
              <w:rPr/>
              <w:t>​</w:t>
            </w:r>
          </w:p>
        </w:tc>
        <w:tc>
          <w:tcPr>
            <w:tcW w:w="1186" w:type="dxa"/>
            <w:tcBorders>
              <w:bottom w:val="double" w:sz="8" w:space="0" w:color="000000"/>
            </w:tcBorders>
            <w:tcMar>
              <w:bottom w:w="56"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886" w:type="dxa"/>
            <w:tcBorders>
              <w:bottom w:val="double" w:sz="8" w:space="0" w:color="000000"/>
            </w:tcBorders>
            <w:tcMar>
              <w:bottom w:w="56" w:type="dxa"/>
            </w:tcMar>
            <w:vAlign w:val="center"/>
          </w:tcPr>
          <w:p>
            <w:pPr>
              <w:pStyle w:val="TableContents"/>
              <w:bidi w:val="0"/>
              <w:spacing w:before="0" w:after="283"/>
              <w:jc w:val="right"/>
              <w:rPr/>
            </w:pPr>
            <w:r>
              <w:rPr/>
              <w:t>140,039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6" w:type="dxa"/>
            </w:tcMar>
            <w:vAlign w:val="center"/>
          </w:tcPr>
          <w:p>
            <w:pPr>
              <w:pStyle w:val="TableContents"/>
              <w:bidi w:val="0"/>
              <w:spacing w:before="0" w:after="283"/>
              <w:jc w:val="right"/>
              <w:rPr/>
            </w:pPr>
            <w:r>
              <w:rPr/>
              <w:t>​</w:t>
            </w:r>
          </w:p>
        </w:tc>
        <w:tc>
          <w:tcPr>
            <w:tcW w:w="1066" w:type="dxa"/>
            <w:tcBorders>
              <w:bottom w:val="double" w:sz="8" w:space="0" w:color="000000"/>
            </w:tcBorders>
            <w:tcMar>
              <w:bottom w:w="56" w:type="dxa"/>
            </w:tcMar>
            <w:vAlign w:val="center"/>
          </w:tcPr>
          <w:p>
            <w:pPr>
              <w:pStyle w:val="TableContents"/>
              <w:bidi w:val="0"/>
              <w:spacing w:before="0" w:after="283"/>
              <w:jc w:val="right"/>
              <w:rPr/>
            </w:pPr>
            <w:r>
              <w:rPr/>
              <w:t>5,181,249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432" w:type="dxa"/>
            <w:tcBorders>
              <w:bottom w:val="double" w:sz="8" w:space="0" w:color="000000"/>
            </w:tcBorders>
            <w:tcMar>
              <w:bottom w:w="56"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647" w:type="dxa"/>
            <w:tcBorders>
              <w:bottom w:val="double" w:sz="8" w:space="0" w:color="000000"/>
            </w:tcBorders>
            <w:tcMar>
              <w:bottom w:w="56" w:type="dxa"/>
            </w:tcMar>
            <w:vAlign w:val="center"/>
          </w:tcPr>
          <w:p>
            <w:pPr>
              <w:pStyle w:val="TableContents"/>
              <w:bidi w:val="0"/>
              <w:spacing w:before="0" w:after="283"/>
              <w:jc w:val="right"/>
              <w:rPr/>
            </w:pPr>
            <w:r>
              <w:rPr/>
              <w:t>4,449</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6" w:type="dxa"/>
            </w:tcMar>
            <w:vAlign w:val="center"/>
          </w:tcPr>
          <w:p>
            <w:pPr>
              <w:pStyle w:val="TableContents"/>
              <w:bidi w:val="0"/>
              <w:spacing w:before="0" w:after="283"/>
              <w:jc w:val="right"/>
              <w:rPr/>
            </w:pPr>
            <w:r>
              <w:rPr/>
              <w:t>$</w:t>
            </w:r>
          </w:p>
        </w:tc>
        <w:tc>
          <w:tcPr>
            <w:tcW w:w="902" w:type="dxa"/>
            <w:tcBorders>
              <w:bottom w:val="double" w:sz="8" w:space="0" w:color="000000"/>
            </w:tcBorders>
            <w:tcMar>
              <w:bottom w:w="56" w:type="dxa"/>
            </w:tcMar>
            <w:vAlign w:val="center"/>
          </w:tcPr>
          <w:p>
            <w:pPr>
              <w:pStyle w:val="TableContents"/>
              <w:bidi w:val="0"/>
              <w:spacing w:before="0" w:after="283"/>
              <w:jc w:val="right"/>
              <w:rPr/>
            </w:pPr>
            <w:r>
              <w:rPr/>
              <w:t>(89,104)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bottom w:val="double" w:sz="8" w:space="0" w:color="000000"/>
            </w:tcBorders>
            <w:tcMar>
              <w:bottom w:w="56" w:type="dxa"/>
            </w:tcMar>
            <w:vAlign w:val="center"/>
          </w:tcPr>
          <w:p>
            <w:pPr>
              <w:pStyle w:val="TableContents"/>
              <w:bidi w:val="0"/>
              <w:spacing w:before="0" w:after="283"/>
              <w:jc w:val="right"/>
              <w:rPr/>
            </w:pPr>
            <w:r>
              <w:rPr/>
              <w:t>$</w:t>
            </w:r>
          </w:p>
        </w:tc>
        <w:tc>
          <w:tcPr>
            <w:tcW w:w="909" w:type="dxa"/>
            <w:tcBorders>
              <w:bottom w:val="double" w:sz="8" w:space="0" w:color="000000"/>
            </w:tcBorders>
            <w:tcMar>
              <w:bottom w:w="56" w:type="dxa"/>
            </w:tcMar>
            <w:vAlign w:val="center"/>
          </w:tcPr>
          <w:p>
            <w:pPr>
              <w:pStyle w:val="TableContents"/>
              <w:bidi w:val="0"/>
              <w:spacing w:before="0" w:after="283"/>
              <w:jc w:val="right"/>
              <w:rPr/>
            </w:pPr>
            <w:r>
              <w:rPr/>
              <w:t>(84,655)</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fCSOC1"/>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color w:val="000000"/>
          <w:spacing w:val="-2"/>
          <w:sz w:val="20"/>
        </w:rPr>
      </w:pPr>
      <w:r>
        <w:rPr>
          <w:rFonts w:ascii="Helvetica;Arial;sans-serif" w:hAnsi="Helvetica;Arial;sans-serif"/>
          <w:b/>
          <w:i w:val="false"/>
          <w:caps/>
          <w:color w:val="000000"/>
          <w:spacing w:val="-2"/>
          <w:sz w:val="20"/>
        </w:rPr>
        <w:t xml:space="preserve">CONSOLIDATED STATEMENTS OF CASH FLOWS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(IN THOUSANDS)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510"/>
        <w:gridCol w:w="109"/>
        <w:gridCol w:w="109"/>
        <w:gridCol w:w="109"/>
        <w:gridCol w:w="226"/>
        <w:gridCol w:w="920"/>
        <w:gridCol w:w="109"/>
        <w:gridCol w:w="109"/>
        <w:gridCol w:w="109"/>
        <w:gridCol w:w="109"/>
        <w:gridCol w:w="226"/>
        <w:gridCol w:w="903"/>
        <w:gridCol w:w="109"/>
        <w:gridCol w:w="155"/>
      </w:tblGrid>
      <w:tr>
        <w:trPr/>
        <w:tc>
          <w:tcPr>
            <w:tcW w:w="55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29" w:type="dxa"/>
            <w:gridSpan w:val="10"/>
            <w:tcBorders>
              <w:bottom w:val="single" w:sz="2" w:space="0" w:color="000000"/>
            </w:tcBorders>
            <w:vAlign w:val="center"/>
          </w:tcPr>
          <w:p>
            <w:pPr>
              <w:pStyle w:val="TableContents"/>
              <w:bidi w:val="0"/>
              <w:spacing w:before="0" w:after="0"/>
              <w:jc w:val="center"/>
              <w:rPr>
                <w:spacing w:val="-2"/>
              </w:rPr>
            </w:pPr>
            <w:r>
              <w:rPr>
                <w:spacing w:val="-2"/>
              </w:rPr>
              <w:t xml:space="preserve">Years ended 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4"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7"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283"/>
              <w:jc w:val="left"/>
              <w:rPr/>
            </w:pPr>
            <w:r>
              <w:rPr>
                <w:spacing w:val="-2"/>
              </w:rPr>
              <w:t>Cash flows from operating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(27,836)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(58,505)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jc w:val="left"/>
              <w:rPr>
                <w:spacing w:val="-2"/>
              </w:rPr>
            </w:pPr>
            <w:r>
              <w:rPr>
                <w:spacing w:val="-2"/>
              </w:rPr>
              <w:t xml:space="preserve">Adjustments to reconcile net loss to 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200" w:right="0" w:hanging="0"/>
              <w:jc w:val="left"/>
              <w:rPr>
                <w:spacing w:val="-2"/>
              </w:rPr>
            </w:pPr>
            <w:r>
              <w:rPr>
                <w:spacing w:val="-2"/>
              </w:rPr>
              <w:t xml:space="preserve">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1,172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1,005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2,997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200" w:right="0" w:hanging="0"/>
              <w:jc w:val="left"/>
              <w:rPr>
                <w:spacing w:val="-2"/>
              </w:rPr>
            </w:pPr>
            <w:r>
              <w:rPr>
                <w:spacing w:val="-2"/>
              </w:rPr>
              <w:t xml:space="preserve">Non-cash 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2,257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Non-cash operating lease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626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314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200" w:right="0" w:hanging="0"/>
              <w:jc w:val="left"/>
              <w:rPr>
                <w:spacing w:val="-2"/>
              </w:rPr>
            </w:pPr>
            <w:r>
              <w:rPr>
                <w:spacing w:val="-2"/>
              </w:rPr>
              <w:t xml:space="preserve">Gain on lease modification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(1,024)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Change in fair value of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866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200" w:right="0" w:hanging="0"/>
              <w:jc w:val="left"/>
              <w:rPr>
                <w:spacing w:val="-2"/>
              </w:rPr>
            </w:pPr>
            <w:r>
              <w:rPr>
                <w:spacing w:val="-2"/>
              </w:rPr>
              <w:t xml:space="preserve">Convertible note discount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Gain on sale of property and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200" w:right="0" w:hanging="0"/>
              <w:jc w:val="left"/>
              <w:rPr>
                <w:spacing w:val="-2"/>
              </w:rPr>
            </w:pPr>
            <w:r>
              <w:rPr>
                <w:spacing w:val="-2"/>
              </w:rPr>
              <w:t xml:space="preserve">Changes in operating assets and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Accounts receivable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(1,352)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400" w:right="0" w:hanging="0"/>
              <w:jc w:val="left"/>
              <w:rPr>
                <w:spacing w:val="-2"/>
              </w:rPr>
            </w:pPr>
            <w:r>
              <w:rPr>
                <w:spacing w:val="-2"/>
              </w:rPr>
              <w:t xml:space="preserve">Prepaid expenses and 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(624)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(2,222)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Accounts payable, accrued expenses and 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2,537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4,591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400" w:right="0" w:hanging="0"/>
              <w:jc w:val="left"/>
              <w:rPr>
                <w:spacing w:val="-2"/>
              </w:rPr>
            </w:pPr>
            <w:r>
              <w:rPr>
                <w:spacing w:val="-2"/>
              </w:rPr>
              <w:t xml:space="preserve">Deferred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3,956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7,299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bottom w:val="single" w:sz="2" w:space="0" w:color="CCEEFF"/>
            </w:tcBorders>
            <w:shd w:fill="CCEEFF" w:val="clear"/>
            <w:vAlign w:val="center"/>
          </w:tcPr>
          <w:p>
            <w:pPr>
              <w:pStyle w:val="TableContents"/>
              <w:bidi w:val="0"/>
              <w:spacing w:before="0" w:after="0"/>
              <w:ind w:left="400" w:right="0" w:hanging="0"/>
              <w:jc w:val="left"/>
              <w:rPr>
                <w:spacing w:val="-2"/>
              </w:rPr>
            </w:pPr>
            <w:r>
              <w:rPr>
                <w:spacing w:val="-2"/>
              </w:rPr>
              <w:t xml:space="preserve">Operating lease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20" w:type="dxa"/>
            <w:tcBorders>
              <w:bottom w:val="single" w:sz="2" w:space="0" w:color="000000"/>
            </w:tcBorders>
            <w:shd w:fill="CCEEFF" w:val="clear"/>
            <w:vAlign w:val="center"/>
          </w:tcPr>
          <w:p>
            <w:pPr>
              <w:pStyle w:val="TableContents"/>
              <w:bidi w:val="0"/>
              <w:spacing w:before="0" w:after="283"/>
              <w:jc w:val="right"/>
              <w:rPr/>
            </w:pPr>
            <w:r>
              <w:rPr/>
              <w:t>101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(234)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10" w:type="dxa"/>
            <w:tcBorders>
              <w:bottom w:val="single" w:sz="2" w:space="0" w:color="FFFFFF"/>
            </w:tcBorders>
            <w:vAlign w:val="center"/>
          </w:tcPr>
          <w:p>
            <w:pPr>
              <w:pStyle w:val="TableContents"/>
              <w:bidi w:val="0"/>
              <w:spacing w:before="0" w:after="0"/>
              <w:ind w:left="600" w:right="0" w:hanging="0"/>
              <w:jc w:val="left"/>
              <w:rPr>
                <w:spacing w:val="-2"/>
              </w:rPr>
            </w:pPr>
            <w:r>
              <w:rPr>
                <w:spacing w:val="-2"/>
              </w:rPr>
              <w:t xml:space="preserve">Net cash used in operating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20" w:type="dxa"/>
            <w:tcBorders>
              <w:bottom w:val="single" w:sz="2" w:space="0" w:color="000000"/>
            </w:tcBorders>
            <w:vAlign w:val="center"/>
          </w:tcPr>
          <w:p>
            <w:pPr>
              <w:pStyle w:val="TableContents"/>
              <w:bidi w:val="0"/>
              <w:spacing w:before="0" w:after="283"/>
              <w:jc w:val="right"/>
              <w:rPr/>
            </w:pPr>
            <w:r>
              <w:rPr/>
              <w:t>(20,391)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(41,611)</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283"/>
              <w:jc w:val="left"/>
              <w:rPr/>
            </w:pPr>
            <w:r>
              <w:rPr>
                <w:spacing w:val="-2"/>
              </w:rPr>
              <w:t>Cash flows from investing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200" w:right="0" w:hanging="0"/>
              <w:jc w:val="left"/>
              <w:rPr>
                <w:spacing w:val="-2"/>
              </w:rPr>
            </w:pPr>
            <w:r>
              <w:rPr>
                <w:spacing w:val="-2"/>
              </w:rPr>
              <w:t xml:space="preserve">Purchases of property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(3,537)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(2,405)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bottom w:val="single" w:sz="2" w:space="0" w:color="CCEEFF"/>
            </w:tcBorders>
            <w:shd w:fill="CCEEFF" w:val="clear"/>
            <w:vAlign w:val="center"/>
          </w:tcPr>
          <w:p>
            <w:pPr>
              <w:pStyle w:val="TableContents"/>
              <w:bidi w:val="0"/>
              <w:spacing w:before="0" w:after="0"/>
              <w:ind w:left="200" w:right="0" w:hanging="0"/>
              <w:jc w:val="left"/>
              <w:rPr>
                <w:spacing w:val="-2"/>
              </w:rPr>
            </w:pPr>
            <w:r>
              <w:rPr>
                <w:spacing w:val="-2"/>
              </w:rPr>
              <w:t xml:space="preserve">Proceeds from sale of property and equipment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20" w:type="dxa"/>
            <w:tcBorders>
              <w:bottom w:val="single" w:sz="2" w:space="0" w:color="000000"/>
            </w:tcBorders>
            <w:shd w:fill="CCEEFF" w:val="clear"/>
            <w:vAlign w:val="center"/>
          </w:tcPr>
          <w:p>
            <w:pPr>
              <w:pStyle w:val="TableContents"/>
              <w:bidi w:val="0"/>
              <w:spacing w:before="0" w:after="283"/>
              <w:jc w:val="right"/>
              <w:rPr/>
            </w:pPr>
            <w:r>
              <w:rPr/>
              <w:t>158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27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10" w:type="dxa"/>
            <w:tcBorders>
              <w:bottom w:val="single" w:sz="2" w:space="0" w:color="FFFFFF"/>
            </w:tcBorders>
            <w:vAlign w:val="center"/>
          </w:tcPr>
          <w:p>
            <w:pPr>
              <w:pStyle w:val="TableContents"/>
              <w:bidi w:val="0"/>
              <w:spacing w:before="0" w:after="0"/>
              <w:ind w:left="400" w:right="0" w:hanging="0"/>
              <w:jc w:val="left"/>
              <w:rPr>
                <w:spacing w:val="-2"/>
              </w:rPr>
            </w:pPr>
            <w:r>
              <w:rPr>
                <w:spacing w:val="-2"/>
              </w:rPr>
              <w:t xml:space="preserve">Net cash used in investing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20" w:type="dxa"/>
            <w:tcBorders>
              <w:bottom w:val="single" w:sz="2" w:space="0" w:color="000000"/>
            </w:tcBorders>
            <w:vAlign w:val="center"/>
          </w:tcPr>
          <w:p>
            <w:pPr>
              <w:pStyle w:val="TableContents"/>
              <w:bidi w:val="0"/>
              <w:spacing w:before="0" w:after="283"/>
              <w:jc w:val="right"/>
              <w:rPr/>
            </w:pPr>
            <w:r>
              <w:rPr/>
              <w:t>(3,379)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(2,378)</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283"/>
              <w:jc w:val="left"/>
              <w:rPr/>
            </w:pPr>
            <w:r>
              <w:rPr>
                <w:spacing w:val="-2"/>
              </w:rPr>
              <w:t>Cash flows from financing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convertible notes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30,000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Payment of convertible notes payable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exercise of stock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894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200" w:right="0" w:hanging="0"/>
              <w:jc w:val="left"/>
              <w:rPr>
                <w:spacing w:val="-2"/>
              </w:rPr>
            </w:pPr>
            <w:r>
              <w:rPr>
                <w:spacing w:val="-2"/>
              </w:rPr>
              <w:t xml:space="preserve">Payment of Series Seed convertible preferred stock issuance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Series A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134,750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Payment of Series A convertible preferred stock issuance costs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20" w:type="dxa"/>
            <w:tcBorders>
              <w:bottom w:val="single" w:sz="2" w:space="0" w:color="000000"/>
            </w:tcBorders>
            <w:vAlign w:val="center"/>
          </w:tcPr>
          <w:p>
            <w:pPr>
              <w:pStyle w:val="TableContents"/>
              <w:bidi w:val="0"/>
              <w:spacing w:before="0" w:after="283"/>
              <w:jc w:val="right"/>
              <w:rPr/>
            </w:pPr>
            <w:r>
              <w:rPr/>
              <w:t>(336)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03"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10" w:type="dxa"/>
            <w:tcBorders>
              <w:bottom w:val="single" w:sz="2" w:space="0" w:color="CCEEFF"/>
            </w:tcBorders>
            <w:shd w:fill="CCEEFF" w:val="clear"/>
            <w:vAlign w:val="center"/>
          </w:tcPr>
          <w:p>
            <w:pPr>
              <w:pStyle w:val="TableContents"/>
              <w:bidi w:val="0"/>
              <w:spacing w:before="0" w:after="0"/>
              <w:ind w:left="400" w:right="0" w:hanging="0"/>
              <w:jc w:val="left"/>
              <w:rPr>
                <w:spacing w:val="-2"/>
              </w:rPr>
            </w:pPr>
            <w:r>
              <w:rPr>
                <w:spacing w:val="-2"/>
              </w:rPr>
              <w:t xml:space="preserve">Net cash provided by financing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20" w:type="dxa"/>
            <w:tcBorders>
              <w:bottom w:val="single" w:sz="2" w:space="0" w:color="000000"/>
            </w:tcBorders>
            <w:shd w:fill="CCEEFF" w:val="clear"/>
            <w:vAlign w:val="center"/>
          </w:tcPr>
          <w:p>
            <w:pPr>
              <w:pStyle w:val="TableContents"/>
              <w:bidi w:val="0"/>
              <w:spacing w:before="0" w:after="283"/>
              <w:jc w:val="right"/>
              <w:rPr/>
            </w:pPr>
            <w:r>
              <w:rPr/>
              <w:t>149,438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30,859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jc w:val="left"/>
              <w:rPr>
                <w:spacing w:val="-2"/>
              </w:rPr>
            </w:pPr>
            <w:r>
              <w:rPr>
                <w:spacing w:val="-2"/>
              </w:rPr>
              <w:t xml:space="preserve">Net increase (decrease) in cash, cash equivalents, and 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125,668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(13,130)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Cash, cash equivalents, and restricted cash at beginning of the period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20" w:type="dxa"/>
            <w:tcBorders>
              <w:bottom w:val="single" w:sz="2" w:space="0" w:color="000000"/>
            </w:tcBorders>
            <w:shd w:fill="CCEEFF" w:val="clear"/>
            <w:vAlign w:val="center"/>
          </w:tcPr>
          <w:p>
            <w:pPr>
              <w:pStyle w:val="TableContents"/>
              <w:bidi w:val="0"/>
              <w:spacing w:before="0" w:after="283"/>
              <w:jc w:val="right"/>
              <w:rPr/>
            </w:pPr>
            <w:r>
              <w:rPr/>
              <w:t>2,759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03" w:type="dxa"/>
            <w:tcBorders>
              <w:bottom w:val="single" w:sz="2" w:space="0" w:color="000000"/>
            </w:tcBorders>
            <w:shd w:fill="CCEEFF" w:val="clear"/>
            <w:vAlign w:val="center"/>
          </w:tcPr>
          <w:p>
            <w:pPr>
              <w:pStyle w:val="TableContents"/>
              <w:bidi w:val="0"/>
              <w:spacing w:before="0" w:after="283"/>
              <w:jc w:val="right"/>
              <w:rPr/>
            </w:pPr>
            <w:r>
              <w:rPr/>
              <w:t>128,427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jc w:val="left"/>
              <w:rPr>
                <w:b/>
              </w:rPr>
            </w:pPr>
            <w:r>
              <w:rPr>
                <w:b/>
                <w:spacing w:val="-2"/>
              </w:rPr>
              <w:t>Cash, cash equivalents, and restricted cash at end of the period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20" w:type="dxa"/>
            <w:tcBorders>
              <w:bottom w:val="double" w:sz="8" w:space="0" w:color="000000"/>
            </w:tcBorders>
            <w:vAlign w:val="center"/>
          </w:tcPr>
          <w:p>
            <w:pPr>
              <w:pStyle w:val="TableContents"/>
              <w:bidi w:val="0"/>
              <w:spacing w:before="0" w:after="283"/>
              <w:jc w:val="right"/>
              <w:rPr/>
            </w:pPr>
            <w:r>
              <w:rPr/>
              <w:t xml:space="preserve">128,427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03" w:type="dxa"/>
            <w:tcBorders>
              <w:bottom w:val="double" w:sz="8" w:space="0" w:color="000000"/>
            </w:tcBorders>
            <w:vAlign w:val="center"/>
          </w:tcPr>
          <w:p>
            <w:pPr>
              <w:pStyle w:val="TableContents"/>
              <w:bidi w:val="0"/>
              <w:spacing w:before="0" w:after="283"/>
              <w:jc w:val="right"/>
              <w:rPr/>
            </w:pPr>
            <w:r>
              <w:rPr/>
              <w:t>115,297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ind w:left="200" w:right="0" w:hanging="200"/>
              <w:jc w:val="left"/>
              <w:rPr/>
            </w:pPr>
            <w:r>
              <w:rPr>
                <w:spacing w:val="-2"/>
              </w:rPr>
              <w:t>Supplemental disclosure of noncash investing and financing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400" w:right="0" w:hanging="200"/>
              <w:jc w:val="left"/>
              <w:rPr>
                <w:spacing w:val="-2"/>
              </w:rPr>
            </w:pPr>
            <w:r>
              <w:rPr>
                <w:spacing w:val="-2"/>
              </w:rPr>
              <w:t xml:space="preserve">Property and equipment included in accounts payable and accrued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211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107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Conversion of convertible debt into Series A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5,625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200" w:right="0" w:hanging="0"/>
              <w:jc w:val="left"/>
              <w:rPr>
                <w:spacing w:val="-2"/>
              </w:rPr>
            </w:pPr>
            <w:r>
              <w:rPr>
                <w:spacing w:val="-2"/>
              </w:rPr>
              <w:t xml:space="preserve">Acquisition of leasehold improvements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1,066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Reclassification from early exercise liability, non-current to early exercise liability,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10" w:type="dxa"/>
            <w:tcBorders/>
            <w:tcMar>
              <w:bottom w:w="0" w:type="dxa"/>
            </w:tcMar>
            <w:vAlign w:val="center"/>
          </w:tcPr>
          <w:p>
            <w:pPr>
              <w:pStyle w:val="TableContents"/>
              <w:bidi w:val="0"/>
              <w:spacing w:before="0" w:after="0"/>
              <w:ind w:left="200" w:right="0" w:hanging="0"/>
              <w:jc w:val="left"/>
              <w:rPr>
                <w:spacing w:val="-2"/>
              </w:rPr>
            </w:pPr>
            <w:r>
              <w:rPr>
                <w:spacing w:val="-2"/>
              </w:rPr>
              <w:t xml:space="preserve">Settlement of antidilution obligation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124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10" w:type="dxa"/>
            <w:tcBorders/>
            <w:shd w:fill="CCEEFF" w:val="clear"/>
            <w:tcMar>
              <w:bottom w:w="0" w:type="dxa"/>
            </w:tcMar>
            <w:vAlign w:val="center"/>
          </w:tcPr>
          <w:p>
            <w:pPr>
              <w:pStyle w:val="TableContents"/>
              <w:bidi w:val="0"/>
              <w:spacing w:before="0" w:after="0"/>
              <w:ind w:left="400" w:right="0" w:hanging="200"/>
              <w:jc w:val="left"/>
              <w:rPr/>
            </w:pPr>
            <w:r>
              <w:rPr>
                <w:spacing w:val="-2"/>
              </w:rPr>
              <w:t xml:space="preserve">Operating lease right-of-use assets obtained in exchange for operating </w:t>
            </w:r>
            <w:r>
              <w:rPr/>
              <w:br/>
            </w:r>
            <w:r>
              <w:rPr>
                <w:spacing w:val="-2"/>
              </w:rPr>
              <w:t xml:space="preserve">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25,055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fNTCF"/>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 Nature of Business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Organization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City Therapeutics, Inc. (the Company or City) is a clinical-stage biotechnology company developing the next generation of RNAi therapeutics designed to silence the expression of disease-relevant proteins, with the aim of delivering meaningful and durable benefits for patients in need.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was incorporated in the state of Delaware on July 17, 2023, and has a principal office in Cambridge, Massachusetts.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Liquidity and Capital Resources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inception, the Company has devoted substantially all of its efforts to research and development activities, advancing development of the portfolio of programs and platforms, raising capital, developing and maintaining its intellectual property, hiring personnel, and providing general and administrative support for these operations. The Company is subject to risks and uncertainties common to companies in the biotechnology industry, including but not limited to, risks of failure of preclinical studies and clinical trials, development and manufacturing of potential future product candidates, obtaining regulatory approval for potential future product candidates, competition from substitute products, the need to successfully commercialize and gain market acceptance of its potential future product candidates, dependence on key personnel, protection of proprietary technology, compliance with government regulations, development by competitors of technological innovations and the ability to secure additional capital to fund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can be no assurance that the Company’s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incurred net losses of $27.8 million and $58.5 million during the years ended December 31, 2024 and 2025, respectively. As of December 31, 2024 and 2025, the Company had an accumulated deficit of $30.6 million and $89.1 million, respectively. As of December 31, 2025, the Company had cash, cash equivalents, and restricted cash of $115.3 million. To date, the Company’s financing has primarily been through the sale of its Series Seed, Series A and Series B convertible preferred stock, as well as capital received from its collaboration arrangements with Bausch + Lomb Ireland Limited (Bausch + Lomb) and Biogen MA Inc. (Biogen).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evaluated whether there are conditions and events, considered in the aggregate, that raise substantial doubt about the Company’s ability to continue as a going concern within one year after the date that these consolidated financial statements are issued. As of the issuance date of the consolidated financial statements, the Company expects its cash and cash equivalents, together with proceeds received from the Series B convertible preferred stock, will be sufficient to fund its operating expenses and capital expenditure requirements for at least the next twelve months from the date these consolidated financial statements were available to be issued. The future viability of the Company beyond that point is dependent on its ability to raise additional capital to finance its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Until such time that the Company can generate significant product revenues, if ever, the Company expects to seek additional funding through private and public equity financings, additional collaborations, strategic alliances and marketing, distribution or licensing arrangements. The Company is seeking to complete an initial public offering (IPO) of its common stock. Upon the completion of a qualifying public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 Nature of Business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offering on specified terms, the Company’s outstanding convertible preferred stock will automatically convert into shares of common stock (see Note 10). In the event the Company does not complete an IPO, the Company may not be able to obtain financing on acceptable terms, or at all, and the Company may not be able to enter into additional collaborations or other arrangements. The terms of any financing may adversely affect the holdings or the rights of the Company’s stockholders.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Company is unable to obtain sufficient funding, the Company will be forced to delay, scale back or discontinue some or all of its research and development programs, product portfolio expansion efforts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Basis of Presentation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Principles of Consolidation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accompanying consolidated financial statements include the accounts of City Therapeutics, Inc. and its wholly owned subsidiary, City Therapeutics Securities Corporation. All intercompany balances and transactions have been eliminated in consolidation.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Segment Data</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views its operations and manages its business as a single segment for the purposes of assessing performance and making operating decisions. The Company’s chief operating decision maker (CODM) reviews the Company’s financial information on a consolidated basis for purposes of assessing performance and allocating resources. The Company’s CODM is the Chief Executive Officer (CEO).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Use of Estimates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preparation of the Company’s consolidated financial statements in conformity with GAAP requires management to make estimates and assumptions that affect the reported amounts of assets and liabilities, the disclosure of contingent liabilities at the date of the consolidated financial statements, and the reported amounts of expenses during the reporting period. Significant estimates and assumptions reflected in these consolidated financial statements include, but are not limited to, estimates and assumptions for the valuation of common stock and stock-based compensation expense, the incremental borrowing rate related to the Company’s lease, fair value measurement of convertible notes, and the accrual of research and development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 and any such differences may be material to the Company’s consolidated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Cash, Cash Equivalents, and Restricted Cash</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Cash represents funds in the Company’s operating and savings bank accounts. The Company considers all highly liquid investments with an original maturity of three months or less when purchased to be cash equivalents.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2024 and 2025, restricted cash consists of cash placed in a restricted bank account as required under the terms of the Company’s lease agreement, which is recorded as restricted cash within the Company’s consolidated balance sheets.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provides a reconciliation of cash, cash equivalents, and restricted cash as reported within the Company’s consolidated balance sheets to cash, cash equivalents, and restricted cash in the consolidated statements of cash flows (in thousands):</w:t>
      </w:r>
      <w:r>
        <w:rPr>
          <w:rFonts w:ascii="Helvetica;Arial;sans-serif" w:hAnsi="Helvetica;Arial;sans-serif"/>
          <w:b w:val="false"/>
          <w:i w:val="false"/>
          <w:caps w:val="false"/>
          <w:smallCaps w:val="false"/>
          <w:color w:val="000000"/>
          <w:spacing w:val="4"/>
          <w:sz w:val="20"/>
        </w:rPr>
        <w:t xml:space="preserve"> </w:t>
      </w:r>
    </w:p>
    <w:tbl>
      <w:tblPr>
        <w:tblW w:w="7919" w:type="dxa"/>
        <w:jc w:val="left"/>
        <w:tblInd w:w="1393" w:type="dxa"/>
        <w:tblLayout w:type="fixed"/>
        <w:tblCellMar>
          <w:top w:w="0" w:type="dxa"/>
          <w:left w:w="0" w:type="dxa"/>
          <w:bottom w:w="28" w:type="dxa"/>
          <w:right w:w="0" w:type="dxa"/>
        </w:tblCellMar>
      </w:tblPr>
      <w:tblGrid>
        <w:gridCol w:w="4609"/>
        <w:gridCol w:w="109"/>
        <w:gridCol w:w="109"/>
        <w:gridCol w:w="109"/>
        <w:gridCol w:w="226"/>
        <w:gridCol w:w="946"/>
        <w:gridCol w:w="109"/>
        <w:gridCol w:w="109"/>
        <w:gridCol w:w="109"/>
        <w:gridCol w:w="109"/>
        <w:gridCol w:w="226"/>
        <w:gridCol w:w="886"/>
        <w:gridCol w:w="109"/>
        <w:gridCol w:w="154"/>
      </w:tblGrid>
      <w:tr>
        <w:trPr/>
        <w:tc>
          <w:tcPr>
            <w:tcW w:w="4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8" w:type="dxa"/>
            <w:gridSpan w:val="10"/>
            <w:tcBorders>
              <w:bottom w:val="single" w:sz="2" w:space="0" w:color="000000"/>
            </w:tcBorders>
            <w:tcMar>
              <w:bottom w:w="50" w:type="dxa"/>
            </w:tcMar>
            <w:vAlign w:val="center"/>
          </w:tcPr>
          <w:p>
            <w:pPr>
              <w:pStyle w:val="TableContents"/>
              <w:bidi w:val="0"/>
              <w:spacing w:before="0" w:after="0"/>
              <w:jc w:val="center"/>
              <w:rPr/>
            </w:pPr>
            <w:r>
              <w:rPr>
                <w:spacing w:val="-2"/>
              </w:rPr>
              <w:t>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9" w:type="dxa"/>
            <w:tcBorders/>
            <w:shd w:fill="CCEEFF" w:val="clear"/>
            <w:tcMar>
              <w:bottom w:w="0" w:type="dxa"/>
            </w:tcMar>
            <w:vAlign w:val="center"/>
          </w:tcPr>
          <w:p>
            <w:pPr>
              <w:pStyle w:val="TableContents"/>
              <w:bidi w:val="0"/>
              <w:spacing w:before="0" w:after="0"/>
              <w:jc w:val="left"/>
              <w:rPr>
                <w:spacing w:val="-2"/>
              </w:rPr>
            </w:pPr>
            <w:r>
              <w:rPr>
                <w:spacing w:val="-2"/>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126,899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112,793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Restricted cash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1,528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2,504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9" w:type="dxa"/>
            <w:tcBorders/>
            <w:shd w:fill="CCEEFF" w:val="clear"/>
            <w:tcMar>
              <w:bottom w:w="0" w:type="dxa"/>
            </w:tcMar>
            <w:vAlign w:val="center"/>
          </w:tcPr>
          <w:p>
            <w:pPr>
              <w:pStyle w:val="TableContents"/>
              <w:bidi w:val="0"/>
              <w:spacing w:before="0" w:after="0"/>
              <w:jc w:val="left"/>
              <w:rPr>
                <w:spacing w:val="-2"/>
              </w:rPr>
            </w:pPr>
            <w:r>
              <w:rPr>
                <w:spacing w:val="-2"/>
              </w:rPr>
              <w:t xml:space="preserve">Total cash, cash equivalents, and 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128,427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115,297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38"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Concentration of Credit Risk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no significant off-balance sheet concentrations of credit risk, such as foreign currency exchange contracts, option contracts, or other hedging arrangements. Financial instruments that potentially subject the Company to concentrations of credit risk primarily consist of cash and cash equivalents balances in several accounts with two financial institutions which often exceed federally insured limits. The Company places its cash in accredited financial institutions and the Company does not believe that it is subject to credit risk beyond the normal credit risk associated with commercial banking relationships.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Fair Value Measurements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Level 1: Observable inputs such as quoted prices in active markets.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Level 2: Inputs, other than the quoted prices in active markets that are observable either directly or indirectly.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Level 3: Unobservable inputs in which there is little or no market data, which require the reporting entity to develop its own assumptions.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As permitted under ASC 825, </w:t>
      </w:r>
      <w:r>
        <w:rPr>
          <w:rFonts w:ascii="Helvetica;Arial;sans-serif" w:hAnsi="Helvetica;Arial;sans-serif"/>
          <w:b w:val="false"/>
          <w:i/>
          <w:caps w:val="false"/>
          <w:smallCaps w:val="false"/>
          <w:color w:val="000000"/>
          <w:spacing w:val="-2"/>
          <w:sz w:val="20"/>
        </w:rPr>
        <w:t>Financial Instruments</w:t>
      </w:r>
      <w:r>
        <w:rPr>
          <w:rFonts w:ascii="Helvetica;Arial;sans-serif" w:hAnsi="Helvetica;Arial;sans-serif"/>
          <w:b w:val="false"/>
          <w:i w:val="false"/>
          <w:caps w:val="false"/>
          <w:smallCaps w:val="false"/>
          <w:color w:val="000000"/>
          <w:spacing w:val="-2"/>
          <w:sz w:val="20"/>
        </w:rPr>
        <w:t xml:space="preserve"> (ASC 825), the Company has elected the fair value option to account for its convertible notes issued. The Company believes that measuring the notes at fair value better reflects the economics of the instruments because the notes contain multiple embedded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41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features, including conversion rights, that would otherwise require separate accounting analyses. The fair value option simplifies the accounting for the instruments and provides users of the financial statements with information that is more representative of the current value of the Company’s obligations. In accordance with ASC 825, the Company records the convertible notes at fair value at each reporting period until settlement, with changes in fair value recorded in the consolidated statements of operations and comprehensive loss. As a result of applying the fair value option, direct costs and fees related to the convertible notes were recognized in earnings as incurred and not deferred.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was obligated to issue to the Ohio State Innovation Foundation (OSIF) shares of the Company’s common stock pursuant to an antidilution provision (Antidilution Obligation) included within the Company’s exclusive license agreement with OSIF (Note 9). At the time of the agreement with OSIF, the Company recorded the Antidilution Obligation at fair value and remeasured the liability at each reporting period, with changes in fair value recognized in the consolidated statement of operations and comprehensive loss. The OSIF Antidilution Obligation was settled in April 2024.</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convertible notes are classified within the Level 3 designation and are recorded at fair value on a recurring basis until settled. The carrying amounts of the Company’s financial instruments, including cash and cash equivalents, prepaid expenses and other current assets, accounts payable, and accrued liabilities, approximate fair value due to their relatively short maturities.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Accounts Receivable and Allowance for Credit Losses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Accounts receivable are stated at the historical carrying amount net of write-offs and allowance for credit losses in accordance with ASC 326, </w:t>
      </w:r>
      <w:r>
        <w:rPr>
          <w:rFonts w:ascii="Helvetica;Arial;sans-serif" w:hAnsi="Helvetica;Arial;sans-serif"/>
          <w:b w:val="false"/>
          <w:i/>
          <w:caps w:val="false"/>
          <w:smallCaps w:val="false"/>
          <w:color w:val="000000"/>
          <w:spacing w:val="-2"/>
          <w:sz w:val="20"/>
        </w:rPr>
        <w:t>Financial Instruments — Credit Losses</w:t>
      </w:r>
      <w:r>
        <w:rPr>
          <w:rFonts w:ascii="Helvetica;Arial;sans-serif" w:hAnsi="Helvetica;Arial;sans-serif"/>
          <w:b w:val="false"/>
          <w:i w:val="false"/>
          <w:caps w:val="false"/>
          <w:smallCaps w:val="false"/>
          <w:color w:val="000000"/>
          <w:spacing w:val="-2"/>
          <w:sz w:val="20"/>
        </w:rPr>
        <w:t>. The Company makes judgments as to its ability to collect outstanding receivables and provides an estimate of expected credit losses for receivables when collection becomes doubtful. The Company’s receivables relate to amounts reimbursed under its research and license agreements. The Company believes that credit risk associated with its research and license partners is not significant. The Company analyzes the actual payment history of its customer, the aging of receivables, current customer-specific developments and economic trends to estimate the reserve for current expected credit losses. To date, the Company has not had any write-offs of accounts receivable, and the Company did not have an allowance for expected credit losses as of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Deferred Offering Costs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capitalizes certain legal, professional, accounting, and other third-party fees that are directly associated with in-process equity financings as deferred offering costs until such equity financings are consummated. After consummation of the equity financing, these costs are recorded as a reduction in the proceeds from the offering, either as a reduction of the carrying amount of the convertible preferred stock or in stockholders’ deficit as a reduction of additional paid-in capital generated as a result of the offering. Should the in-process equity financing be abandoned, the deferred offering costs are expensed immediately as a charge to operating expenses in the consolidated statement of operations and comprehensive loss. As of December 31, 2024 and 2025, no deferred offering costs were recorded within prepaid expenses and other current assets and other non-current assets within the consolidated balance sheets.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Property and Equipment, Net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Property and equipment consists of laboratory equipment, computers, furniture and office equipment, and is recorded at cost, less accumulated depreciation. Depreciation is calculated using the straight-line method over the estimated useful lives of the assets as follows:</w:t>
      </w:r>
      <w:r>
        <w:rPr>
          <w:rFonts w:ascii="Helvetica;Arial;sans-serif" w:hAnsi="Helvetica;Arial;sans-serif"/>
          <w:b w:val="false"/>
          <w:i w:val="false"/>
          <w:caps w:val="false"/>
          <w:smallCaps w:val="false"/>
          <w:color w:val="000000"/>
          <w:spacing w:val="4"/>
          <w:sz w:val="20"/>
        </w:rPr>
        <w:t xml:space="preserve"> </w:t>
      </w:r>
    </w:p>
    <w:tbl>
      <w:tblPr>
        <w:tblW w:w="8079" w:type="dxa"/>
        <w:jc w:val="left"/>
        <w:tblInd w:w="1393" w:type="dxa"/>
        <w:tblLayout w:type="fixed"/>
        <w:tblCellMar>
          <w:top w:w="0" w:type="dxa"/>
          <w:left w:w="0" w:type="dxa"/>
          <w:bottom w:w="50" w:type="dxa"/>
          <w:right w:w="0" w:type="dxa"/>
        </w:tblCellMar>
      </w:tblPr>
      <w:tblGrid>
        <w:gridCol w:w="3403"/>
        <w:gridCol w:w="109"/>
        <w:gridCol w:w="109"/>
        <w:gridCol w:w="4304"/>
        <w:gridCol w:w="154"/>
      </w:tblGrid>
      <w:tr>
        <w:trPr/>
        <w:tc>
          <w:tcPr>
            <w:tcW w:w="3403" w:type="dxa"/>
            <w:tcBorders>
              <w:bottom w:val="single" w:sz="2" w:space="0" w:color="000000"/>
            </w:tcBorders>
            <w:vAlign w:val="center"/>
          </w:tcPr>
          <w:p>
            <w:pPr>
              <w:pStyle w:val="TableContents"/>
              <w:bidi w:val="0"/>
              <w:spacing w:before="0" w:after="0"/>
              <w:jc w:val="left"/>
              <w:rPr/>
            </w:pPr>
            <w:r>
              <w:rPr>
                <w:spacing w:val="-2"/>
              </w:rPr>
              <w:t>Asset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04" w:type="dxa"/>
            <w:tcBorders>
              <w:bottom w:val="single" w:sz="2" w:space="0" w:color="000000"/>
            </w:tcBorders>
            <w:vAlign w:val="center"/>
          </w:tcPr>
          <w:p>
            <w:pPr>
              <w:pStyle w:val="TableContents"/>
              <w:bidi w:val="0"/>
              <w:spacing w:before="0" w:after="0"/>
              <w:jc w:val="center"/>
              <w:rPr/>
            </w:pPr>
            <w:r>
              <w:rPr>
                <w:spacing w:val="-2"/>
              </w:rPr>
              <w:t>Estimated Useful Life</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03" w:type="dxa"/>
            <w:tcBorders/>
            <w:tcMar>
              <w:bottom w:w="0" w:type="dxa"/>
            </w:tcMar>
            <w:vAlign w:val="center"/>
          </w:tcPr>
          <w:p>
            <w:pPr>
              <w:pStyle w:val="TableContents"/>
              <w:bidi w:val="0"/>
              <w:spacing w:before="0" w:after="283"/>
              <w:jc w:val="left"/>
              <w:rPr>
                <w:spacing w:val="-2"/>
              </w:rPr>
            </w:pPr>
            <w:r>
              <w:rPr>
                <w:spacing w:val="-2"/>
              </w:rPr>
              <w:t xml:space="preserve">Lab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04" w:type="dxa"/>
            <w:tcBorders/>
            <w:tcMar>
              <w:bottom w:w="0" w:type="dxa"/>
            </w:tcMar>
            <w:vAlign w:val="center"/>
          </w:tcPr>
          <w:p>
            <w:pPr>
              <w:pStyle w:val="TableContents"/>
              <w:bidi w:val="0"/>
              <w:spacing w:before="0" w:after="0"/>
              <w:jc w:val="center"/>
              <w:rPr>
                <w:spacing w:val="-2"/>
              </w:rPr>
            </w:pPr>
            <w:r>
              <w:rPr>
                <w:spacing w:val="-2"/>
              </w:rPr>
              <w:t xml:space="preserve">5 years </w:t>
            </w:r>
          </w:p>
        </w:tc>
        <w:tc>
          <w:tcPr>
            <w:tcW w:w="154" w:type="dxa"/>
            <w:tcBorders/>
            <w:tcMar>
              <w:bottom w:w="0" w:type="dxa"/>
            </w:tcMar>
            <w:vAlign w:val="center"/>
          </w:tcPr>
          <w:p>
            <w:pPr>
              <w:pStyle w:val="TableContents"/>
              <w:bidi w:val="0"/>
              <w:spacing w:before="0" w:after="283"/>
              <w:jc w:val="left"/>
              <w:rPr/>
            </w:pPr>
            <w:r>
              <w:rPr/>
              <w:t>​</w:t>
            </w:r>
          </w:p>
        </w:tc>
      </w:tr>
      <w:tr>
        <w:trPr/>
        <w:tc>
          <w:tcPr>
            <w:tcW w:w="3403" w:type="dxa"/>
            <w:tcBorders/>
            <w:tcMar>
              <w:bottom w:w="0" w:type="dxa"/>
            </w:tcMar>
            <w:vAlign w:val="center"/>
          </w:tcPr>
          <w:p>
            <w:pPr>
              <w:pStyle w:val="TableContents"/>
              <w:bidi w:val="0"/>
              <w:spacing w:before="0" w:after="283"/>
              <w:jc w:val="left"/>
              <w:rPr>
                <w:spacing w:val="-2"/>
              </w:rPr>
            </w:pPr>
            <w:r>
              <w:rPr>
                <w:spacing w:val="-2"/>
              </w:rPr>
              <w:t xml:space="preserve">Computer equipment and software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04" w:type="dxa"/>
            <w:tcBorders/>
            <w:tcMar>
              <w:bottom w:w="0" w:type="dxa"/>
            </w:tcMar>
            <w:vAlign w:val="center"/>
          </w:tcPr>
          <w:p>
            <w:pPr>
              <w:pStyle w:val="TableContents"/>
              <w:bidi w:val="0"/>
              <w:spacing w:before="0" w:after="0"/>
              <w:jc w:val="center"/>
              <w:rPr>
                <w:spacing w:val="-2"/>
              </w:rPr>
            </w:pPr>
            <w:r>
              <w:rPr>
                <w:spacing w:val="-2"/>
              </w:rPr>
              <w:t xml:space="preserve">3 years </w:t>
            </w:r>
          </w:p>
        </w:tc>
        <w:tc>
          <w:tcPr>
            <w:tcW w:w="154" w:type="dxa"/>
            <w:tcBorders/>
            <w:tcMar>
              <w:bottom w:w="0" w:type="dxa"/>
            </w:tcMar>
            <w:vAlign w:val="center"/>
          </w:tcPr>
          <w:p>
            <w:pPr>
              <w:pStyle w:val="TableContents"/>
              <w:bidi w:val="0"/>
              <w:spacing w:before="0" w:after="283"/>
              <w:jc w:val="left"/>
              <w:rPr/>
            </w:pPr>
            <w:r>
              <w:rPr/>
              <w:t>​</w:t>
            </w:r>
          </w:p>
        </w:tc>
      </w:tr>
      <w:tr>
        <w:trPr/>
        <w:tc>
          <w:tcPr>
            <w:tcW w:w="3403" w:type="dxa"/>
            <w:tcBorders/>
            <w:tcMar>
              <w:bottom w:w="0" w:type="dxa"/>
            </w:tcMar>
            <w:vAlign w:val="center"/>
          </w:tcPr>
          <w:p>
            <w:pPr>
              <w:pStyle w:val="TableContents"/>
              <w:bidi w:val="0"/>
              <w:spacing w:before="0" w:after="283"/>
              <w:jc w:val="left"/>
              <w:rPr>
                <w:spacing w:val="-2"/>
              </w:rPr>
            </w:pPr>
            <w:r>
              <w:rPr>
                <w:spacing w:val="-2"/>
              </w:rPr>
              <w:t xml:space="preserve">Furniture and office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04" w:type="dxa"/>
            <w:tcBorders/>
            <w:tcMar>
              <w:bottom w:w="0" w:type="dxa"/>
            </w:tcMar>
            <w:vAlign w:val="center"/>
          </w:tcPr>
          <w:p>
            <w:pPr>
              <w:pStyle w:val="TableContents"/>
              <w:bidi w:val="0"/>
              <w:spacing w:before="0" w:after="0"/>
              <w:jc w:val="center"/>
              <w:rPr>
                <w:spacing w:val="-2"/>
              </w:rPr>
            </w:pPr>
            <w:r>
              <w:rPr>
                <w:spacing w:val="-2"/>
              </w:rPr>
              <w:t xml:space="preserve">7 years </w:t>
            </w:r>
          </w:p>
        </w:tc>
        <w:tc>
          <w:tcPr>
            <w:tcW w:w="154" w:type="dxa"/>
            <w:tcBorders/>
            <w:tcMar>
              <w:bottom w:w="0" w:type="dxa"/>
            </w:tcMar>
            <w:vAlign w:val="center"/>
          </w:tcPr>
          <w:p>
            <w:pPr>
              <w:pStyle w:val="TableContents"/>
              <w:bidi w:val="0"/>
              <w:spacing w:before="0" w:after="283"/>
              <w:jc w:val="left"/>
              <w:rPr/>
            </w:pPr>
            <w:r>
              <w:rPr/>
              <w:t>​</w:t>
            </w:r>
          </w:p>
        </w:tc>
      </w:tr>
      <w:tr>
        <w:trPr/>
        <w:tc>
          <w:tcPr>
            <w:tcW w:w="3403" w:type="dxa"/>
            <w:tcBorders/>
            <w:tcMar>
              <w:bottom w:w="0" w:type="dxa"/>
            </w:tcMar>
            <w:vAlign w:val="center"/>
          </w:tcPr>
          <w:p>
            <w:pPr>
              <w:pStyle w:val="TableContents"/>
              <w:bidi w:val="0"/>
              <w:spacing w:before="0" w:after="283"/>
              <w:jc w:val="left"/>
              <w:rPr>
                <w:spacing w:val="-2"/>
              </w:rPr>
            </w:pPr>
            <w:r>
              <w:rPr>
                <w:spacing w:val="-2"/>
              </w:rPr>
              <w:t xml:space="preserve">Leasehold improvements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04" w:type="dxa"/>
            <w:tcBorders/>
            <w:tcMar>
              <w:bottom w:w="0" w:type="dxa"/>
            </w:tcMar>
            <w:vAlign w:val="center"/>
          </w:tcPr>
          <w:p>
            <w:pPr>
              <w:pStyle w:val="TableContents"/>
              <w:bidi w:val="0"/>
              <w:spacing w:before="0" w:after="0"/>
              <w:jc w:val="center"/>
              <w:rPr/>
            </w:pPr>
            <w:r>
              <w:rPr>
                <w:spacing w:val="-2"/>
              </w:rPr>
              <w:t>Shorter of useful life or remaining lease term</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Maintenance and repairs that do not improve or extend the lives of the respective assets are expensed to operations as incurred, while costs of major additions and betterments are capitalized. The Company capitalizes laboratory equipment used for research and development if it has alternative future use in research and development or otherwise. Upon retirement or sale, the cost of assets disposed and the related accumulated depreciation and amortization are removed from the accounts and any resulting gain or loss is included in loss from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Impairment of Long-Lived Assets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Long-lived assets consist of property and equipment and operating lease right-of-use assets. The Company continually evaluates long-lived assets for potential impairment whenever events or changes in circumstances indicate that the carrying value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the carrying values of the asset group to the expected future undiscounted cash flows that the asset group is expected to generate from the use and eventual disposition of the asset group. An impairment loss would be recognized when estimated undiscounted future cash flows expected to result from the use of an asset group are less than its carrying amount of that asset group. The amount of the impairment loss to be recognized would be calculated by the excess of the carrying value of the impaired asset group over the asset group’s fair value. The Company did not recognize any impairment losses on long-lived assets during the years ended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Leases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an operating lease for office and lab space. At the inception of a lease arrangement, the Company determines whether the arrangement is or contains a lease based on specific facts and circumstances present, the existence of an identified asset(s), if any, and control over the use of the identified asset(s), if applicable. Operating lease liabilities and their corresponding right-of-use assets are recorded based on the present value of future lease payments over the expected lease term. The expected lease term includes noncancelable lease periods and, when applicable, periods covered by an option to extend the lease if the Company is reasonably certain to exercise that option, as well as periods covered by an option to early terminate the lease if the Company is reasonably certain not to exercise that option. The interest rate implicit in lease contracts is typically not readily determinable. As such, the Company uses an incremental borrowing rate, which is the rate incurred to borrow, on a collateralized basis over a similar term, an amount equal to the lease payments in a similar economic environment.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does not recognize assets or liabilities for leases with lease terms of less than 12 months. Lease payments for short-term leases are recorded to operating expense on a straight-line basis over the lease term and variable lease payments are recorded in the period in which the obligation for those payments is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elected, as a policy, to combine lease and non-lease components as a single component for all leases. Operating leases are recognized on the accompanying consolidated balance sheets as operating lease right-of-use assets, operating lease liabilities, current, and operating lease liabilities, non-current. Fixed rents are included in the calculation of the lease balances while variable costs paid for certain operating and passthrough costs are excluded and reflected as expense in the period they are paid. Lease expense is recognized over the expected term on a straight-line basis.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Commitments and Contingencies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may have certain contingent liabilities that arise in the ordinary course of business. The Company accrues a liability for such matters when it is probable that future expenditures will be made and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Stock-based Compensation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The Company accounts for its stock-based compensation awards in accordance with ASC Topic 718, </w:t>
      </w:r>
      <w:r>
        <w:rPr>
          <w:rFonts w:ascii="Helvetica;Arial;sans-serif" w:hAnsi="Helvetica;Arial;sans-serif"/>
          <w:b w:val="false"/>
          <w:i/>
          <w:caps w:val="false"/>
          <w:smallCaps w:val="false"/>
          <w:color w:val="000000"/>
          <w:spacing w:val="-2"/>
          <w:sz w:val="20"/>
        </w:rPr>
        <w:t>Compensation — Stock Compensation</w:t>
      </w:r>
      <w:r>
        <w:rPr>
          <w:rFonts w:ascii="Helvetica;Arial;sans-serif" w:hAnsi="Helvetica;Arial;sans-serif"/>
          <w:b w:val="false"/>
          <w:i w:val="false"/>
          <w:caps w:val="false"/>
          <w:smallCaps w:val="false"/>
          <w:color w:val="000000"/>
          <w:spacing w:val="-2"/>
          <w:sz w:val="20"/>
        </w:rPr>
        <w:t xml:space="preserve"> (ASC 718), which requires all stock-based payments to be recognized in the consolidated statements of operations and comprehensive loss based on their fair values. Under the Company’s 2023 Stock Plan, as amended (2023 Plan), the Company can grant stock-based awards to employees, directors, and non-employee consultants in the form of stock options to purchase shares of its common stock or restricted stock awards. Compensation expense is measured at estimated fair value on the grant date, and is included as compensation expense over the requisite service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fair value of each stock option award is estimated on the date of grant using the Black-Scholes option pricing model. As there is no public market for its common stock, the Company determined the volatility for awards granted based on an analysis of reported data for a group of guideline public companies. The expected volatility is based on the historical volatility of this group of guideline public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As there is no public market for the Company’s common stock, the Company determined the fair value of the shares of its common stock underlying its share-based awards by considering a number of objective and subjective factors, including third-party valuations of the Company’s common stock, the valuation of comparable companies, the Company’s operating and financial performance, and general and industry-specific economic outlook, amongst other factors. The assumptions underlying these valuations represented management’s best estimate, with the assistance of a third-party valuation specialist, which involved inherent uncertainties and the application of management’s judgment. These third-party valuations were performed in accordance with the guidance outlined in the American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Institute of Certified Public Accountants’ Accounting and Valuation Guide, </w:t>
      </w:r>
      <w:r>
        <w:rPr>
          <w:rFonts w:ascii="Helvetica;Arial;sans-serif" w:hAnsi="Helvetica;Arial;sans-serif"/>
          <w:b w:val="false"/>
          <w:i/>
          <w:caps w:val="false"/>
          <w:smallCaps w:val="false"/>
          <w:color w:val="000000"/>
          <w:spacing w:val="-2"/>
          <w:sz w:val="20"/>
        </w:rPr>
        <w:t>Valuation of Privately Held Company Equity Securities Issued as Compensation</w:t>
      </w:r>
      <w:r>
        <w:rPr>
          <w:rFonts w:ascii="Helvetica;Arial;sans-serif" w:hAnsi="Helvetica;Arial;sans-serif"/>
          <w:b w:val="false"/>
          <w:i w:val="false"/>
          <w:caps w:val="false"/>
          <w:smallCaps w:val="false"/>
          <w:color w:val="000000"/>
          <w:spacing w:val="-2"/>
          <w:sz w:val="20"/>
        </w:rPr>
        <w:t xml:space="preserve">. As a result, if the Company had used different assumptions or estimates, the fair value of the Company’s common stock and its stock-based compensation expense could have been materially different.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Compensation expense for awards granted to employees and directors with service-based vesting conditions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services provided, which is generally the vesting period of the award. Compensation for stock options with performance-based vesting conditions is recognized when it is probable that the performance condition will be achieved. The Company accounts for forfeitures of stock-based awards as they occur.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stock option plan allows for early exercise of stock options prior to vesting. Shares of common stock issued upon early exercise of unvested stock options are considered legally outstanding but are not deemed to be issued for accounting purposes until the underlying options vest. The consideration received for early-exercised shares is recorded as an early exercise liability on the consolidated balance sheets and reclassified to additional paid-in capital as the underlying options vest in accordance with the original vesting schedule. The Company can repurchase the shares at the original exercise price and in the event the employee leaves prior to vesting, any unvested shares are subject to repurchase by the Company at the lower of the exercise price or the fair market value of the restricted shares at the time the repurchase right is exercised.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classifies stock-based compensation expense in its consolidated statements of operations and comprehensive loss in the same manner in which the award recipient’s salary and related costs are classified or in which the award recipient’s service payments are classified.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records convertible preferred stock at fair value on the dates of issuance, net of issuance costs. Upon the occurrence of certain events that are outside the Company’s control, including a deemed liquidation event, such as a merger or consolidation, or a sale or transfer of substantially all of the Company’s assets, holders of the convertible preferred stock can cause redemption for cash.</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Therefore, the convertible preferred stock is classified outside of permanent stockholders’ deficit as mezzanine equity (temporary equity) and is presented in the mezzanine section of the consolidated balance sheets as events triggering the redemption for cash are not solely within the Company’s control. The carrying values of the convertible preferred stock are adjusted to their liquidation preferences if and when it becomes probable that such a liquidation event will occur. No accretion was recognized for the years ended December 31, 2024 and 2025 as the contingent events that could give rise to redemption were not deemed probable.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Comprehensive Loss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Comprehensive loss is comprised of net loss and other comprehensive income (loss). For the years ended December 31, 2024 and 2025 there were no differences between net loss and comprehensive loss.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Net loss per share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 follows the two-class method when computing net loss per share as the Company has issued convertible preferred stock which are participating securities. The two-class method determines net loss per share for each class of common and participating securities, according to dividends declared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or accumulated and participation rights in undistributed earnings. The two-class method requires income available to common stockholders for the period to be allocated between common and participating securities based upon their respective rights.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convertible preferred stock does not contractually require the holders of such shares to participate in losses of the Company. Accordingly, in periods in which the Company reported a net loss attributable to common stockholders, such losses are not allocated to such participating securities. In periods in which the Company reported a net loss attributable to common stockholders, diluted net loss per share attributable to common stockholders is the same as basic net loss per share attributable to common stockholders, since dilutive common stock are not assumed to have been issued if their effect is antidilutive. The Company reported a net loss attributable to common stockholders for the years ended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Basic net loss per share attributable to common stockholders is computed by dividing net loss attributable to common stockholders by the weighted-average number of shares of common stock outstanding during the period. Diluted net loss per share attributable to common stockholders is computed by dividing the diluted net loss attributable to common stockholders by the weighted-average number of shares of common stock outstanding for the period, including potential dilutive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Acquired In-Process Research and Development Expenses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measures and recognizes asset acquisitions or licenses to intellectual property that are not deemed to be business combinations based on the cost to acquire or license the asset or group of assets, which includes transaction costs. Goodwill is not recognized in asset acquisitions or transactions to license intellectual property. In an asset acquisition or license to intellectual property, the cost allocated to acquire in-process research and development (IPR&amp;D) with no alternative future use is recognized as expense on the acquisition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Upfront and milestone payments made are accrued for and expensed when the achievement of the milestone is probable up to the point of regulatory approval. Milestone payments made upon regulatory approval are capitalized and amortized over the remaining useful life of the related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were no acquired IPR&amp;D expenses recognized for the years ended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Patent Costs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expenses patent and patent application costs and related legal costs for the prosecution and maintenance of such patents and patent applications, including patents and patent applications the Company in-licenses, as incurred and classifies such costs as general and administrative expenses in the accompanying consolidated statements of operations and comprehensive loss.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Revenue Recognition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The Company recognizes revenue in accordance with ASC Topic 606, </w:t>
      </w:r>
      <w:r>
        <w:rPr>
          <w:rFonts w:ascii="Helvetica;Arial;sans-serif" w:hAnsi="Helvetica;Arial;sans-serif"/>
          <w:b w:val="false"/>
          <w:i/>
          <w:caps w:val="false"/>
          <w:smallCaps w:val="false"/>
          <w:color w:val="000000"/>
          <w:spacing w:val="-2"/>
          <w:sz w:val="20"/>
        </w:rPr>
        <w:t>Revenue from Contracts with Customers</w:t>
      </w:r>
      <w:r>
        <w:rPr>
          <w:rFonts w:ascii="Helvetica;Arial;sans-serif" w:hAnsi="Helvetica;Arial;sans-serif"/>
          <w:b w:val="false"/>
          <w:i w:val="false"/>
          <w:caps w:val="false"/>
          <w:smallCaps w:val="false"/>
          <w:color w:val="000000"/>
          <w:spacing w:val="-2"/>
          <w:sz w:val="20"/>
        </w:rPr>
        <w:t xml:space="preserve"> (ASC 606). The Company enters into collaboration agreements and certain other agreements that are within the scope of ASC 606, under which the Company licenses, or grants an option to license rights to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regulatory and commercial sales milestone payments; and royalties on net sales of licensed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customer and contract with the customer; (ii) identification of promised goods or services and which are performance obligations;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promised goods or services in the Company’s arrangements typically consist of a license, or option to license, rights to the Company’s intellectual property or research and development services. The Company provides options for additional items in such arrangements,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payment and the likelihood that the payments will be received.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contracts often include development and regulatory milestone payments that are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and regulatory milestones and any related constraint, and if necessary, adjusts its estimate of the overall transaction price. Any such adjustments are recorded on a cumulative catch-up basis, which would affect collaboration revenue in the period of adjustment.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arrangements that include sales-based royalties, including milestone payments based on the level of sales, and the license is deemed to be the predominant item to which the royalties relate, the Company recognizes revenue when the related sales occur. To date, the Company has not recognized any royalty revenue resulting from any of the Company’s arrangements.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 allocates the transaction price based on the estimated standalone selling price. The Company must develop assumptions that require judgment to determine the stand-alone selling price for each performance obligation identified in the contract. The Company utilizes key assumptions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determine the stand-alone selling price, which may include other comparable transactions, pricing considered in negotiating the transaction and the estimated costs.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recognizes revenue based on the cost-to-cost method for revenue recognition and total revenue amounts are based on actual costs incurred relative to total costs expected to be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receives payments from its customers based on billing schedules established in each contract. Up-front payments and fees are recorded as deferred revenue upon receipt or when due until the Company performs its obligations under these arrangements. Amounts are recorded as accounts receivable when the Company’s right to consideration is unconditional.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Research and Development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and development costs are expensed as incurred. Research and development costs include salaries, stock-based compensation and other employee benefit expenses, consultants, costs of funding research performed by third parties on the Company’s behalf, lab-related supplies, allocation of corporate costs and other operational costs related to the Company’s research and development activities, including allocated facility-related expenses and costs associated with licenses and the acquisition of technology.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Non-refundable advance payments for goods and services to be received in the future for use in research and development activities are recorded as prepaid expenses on the accompanying consolidated balance sheets. The prepaid amounts are expensed as the related goods are delivered or the services are performed, or when it is no longer expected that the goods will be delivered, or the services rendered.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records accrued liabilities for estimated costs of research and development activities conducted by third-party service providers. The Company accrues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historical accrual estimates made by the Company have not been materially different from the actual costs.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Income Taxes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assesses the likelihood that its deferred tax assets will be recovered from future taxable income and, to the extent 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The Company recognizes the effect of income tax positions only if those positions are more likely than not to be sustained. Recognized income tax positions are measured at the largest amount that is greater than 50% likely to be realized. Changes in recognition or measurement are reflected in the period in which the change in judgment occurs.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records interest related to unrecognized tax benefits and penalties in income tax expenses. The Company did not recognize any interest or penalties in the periods presented.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Recently Adopted Accounting Standards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December 2023, the FASB issued ASU No. 2023-09, </w:t>
      </w:r>
      <w:r>
        <w:rPr>
          <w:rFonts w:ascii="Helvetica;Arial;sans-serif" w:hAnsi="Helvetica;Arial;sans-serif"/>
          <w:b w:val="false"/>
          <w:i/>
          <w:caps w:val="false"/>
          <w:smallCaps w:val="false"/>
          <w:color w:val="000000"/>
          <w:spacing w:val="-2"/>
          <w:sz w:val="20"/>
        </w:rPr>
        <w:t>Income Taxes (Topic 740): Improvements to Income Tax Disclosures</w:t>
      </w:r>
      <w:r>
        <w:rPr>
          <w:rFonts w:ascii="Helvetica;Arial;sans-serif" w:hAnsi="Helvetica;Arial;sans-serif"/>
          <w:b w:val="false"/>
          <w:i w:val="false"/>
          <w:caps w:val="false"/>
          <w:smallCaps w:val="false"/>
          <w:color w:val="000000"/>
          <w:spacing w:val="-2"/>
          <w:sz w:val="20"/>
        </w:rPr>
        <w:t xml:space="preserve"> (ASU 2023-09). Additionally, the amendments in the ASU 2023-09 update require entities to disclose certain information about income taxes paid, rate reconciliation, income tax disaggregation, and the removal of disclosures related to temporary differences surrounding deferred tax liabilities to enhance the transparency and decision usefulness of income tax disclosures. For public entities, the amendments in this update are effective for fiscal years beginning after December 15, 2024 and for entities other than public entities, the amendments in this update are effective for fiscal years beginning after December 15, 2025. Early adoption is permitted for any annual periods for which financial statements have not been issued or made available for issuance. The Company elected to early adopt the standard in 2025 on a retrospective basis. See Note 14 — Income Taxes, for further disclosure.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November 2024, the FASB issued ASU No. 2024-04, </w:t>
      </w:r>
      <w:r>
        <w:rPr>
          <w:rFonts w:ascii="Helvetica;Arial;sans-serif" w:hAnsi="Helvetica;Arial;sans-serif"/>
          <w:b w:val="false"/>
          <w:i/>
          <w:caps w:val="false"/>
          <w:smallCaps w:val="false"/>
          <w:color w:val="000000"/>
          <w:spacing w:val="-2"/>
          <w:sz w:val="20"/>
        </w:rPr>
        <w:t>Debt — Debt with Conversion and Other Options (Subtopic 470-20): Induced Conversions of Convertible Debt Instruments</w:t>
      </w:r>
      <w:r>
        <w:rPr>
          <w:rFonts w:ascii="Helvetica;Arial;sans-serif" w:hAnsi="Helvetica;Arial;sans-serif"/>
          <w:b w:val="false"/>
          <w:i w:val="false"/>
          <w:caps w:val="false"/>
          <w:smallCaps w:val="false"/>
          <w:color w:val="000000"/>
          <w:spacing w:val="-2"/>
          <w:sz w:val="20"/>
        </w:rPr>
        <w:t xml:space="preserve"> (ASU 2024-04), which clarifies the requirements for determining whether the settlement of a convertible debt instrument should be accounted for as an induced conversion or as a debt extinguishment. ASU 2024-04 is effective for the Company for annual reporting periods beginning after December 15, 2025, and interim reporting periods within those annual periods, with early adoption permitted for entities that have adopted the amendments in ASU 2020-06. Adoption did not have a material impact on the Company’s consolidated financial statements and related disclosures.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September 2025, the FASB issued ASU No. 2025-07 </w:t>
      </w:r>
      <w:r>
        <w:rPr>
          <w:rFonts w:ascii="Helvetica;Arial;sans-serif" w:hAnsi="Helvetica;Arial;sans-serif"/>
          <w:b w:val="false"/>
          <w:i/>
          <w:caps w:val="false"/>
          <w:smallCaps w:val="false"/>
          <w:color w:val="000000"/>
          <w:spacing w:val="-2"/>
          <w:sz w:val="20"/>
        </w:rPr>
        <w:t>Derivatives Scope Refinements and Scope Clarification for Share-Based Noncash Consideration from a Customer in a Revenue Contract</w:t>
      </w:r>
      <w:r>
        <w:rPr>
          <w:rFonts w:ascii="Helvetica;Arial;sans-serif" w:hAnsi="Helvetica;Arial;sans-serif"/>
          <w:b w:val="false"/>
          <w:i w:val="false"/>
          <w:caps w:val="false"/>
          <w:smallCaps w:val="false"/>
          <w:color w:val="000000"/>
          <w:spacing w:val="-2"/>
          <w:sz w:val="20"/>
        </w:rPr>
        <w:t xml:space="preserve"> (ASU 2025-07). The amendments provide for a new scope exception to the derivatives guidance for underlyings based on the operations or activities specific to one of the parties to the contract, and also clarifies that share-based noncash consideration received from a customer as consideration for the transfer of goods or services in a revenue contract is subject to the revenue guidance and not the financial instruments guidance unless and until the company’s right to receive or retain the share-based noncash consideration is unconditional as defined in ASU 2025-07. The standard is effective for annual reporting periods beginning after December 15, 2026, including interim reporting periods within those annual periods, with early adoption permitted. The Company adopted this new standard on a prospective basis as of January 1, 2025. Adoption did not have a material impact on the Company’s consolidated financial statements and related disclosures.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Recently Issued Accounting Standards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November 2024, the FASB issued ASU 2024-03, </w:t>
      </w:r>
      <w:r>
        <w:rPr>
          <w:rFonts w:ascii="Helvetica;Arial;sans-serif" w:hAnsi="Helvetica;Arial;sans-serif"/>
          <w:b w:val="false"/>
          <w:i/>
          <w:caps w:val="false"/>
          <w:smallCaps w:val="false"/>
          <w:color w:val="000000"/>
          <w:spacing w:val="-2"/>
          <w:sz w:val="20"/>
        </w:rPr>
        <w:t xml:space="preserve">Income Statement — Reporting Comprehensive Income — Expense Disaggregation Disclosures (Subtopic 220-40): Disaggregation of Income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Basis of Presentation and Summary of Significant Accounting Policies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Expenses</w:t>
      </w:r>
      <w:r>
        <w:rPr>
          <w:rFonts w:ascii="Helvetica;Arial;sans-serif" w:hAnsi="Helvetica;Arial;sans-serif"/>
          <w:b w:val="false"/>
          <w:i w:val="false"/>
          <w:caps w:val="false"/>
          <w:smallCaps w:val="false"/>
          <w:color w:val="000000"/>
          <w:spacing w:val="-2"/>
          <w:sz w:val="20"/>
        </w:rPr>
        <w:t xml:space="preserve"> (ASU 2024-03), which is intended to provide more detailed information about specified categories of expenses included in certain expense captions presented on the statement of operations and comprehensive loss. The guidance in ASU 2024-03 is effective for fiscal years beginning after December 15, 2026. Early adoption is permitted. The amendments may be applied either (1) prospectively to financial statements issued for periods after the effective date of ASU 2024-03 or (2) retrospectively to all prior periods presented in the financial statements. The Company is currently evaluating the impact that the adoption of ASU 2024-03 may have on its consolidated financial statements and related disclosures for fiscal years beginning after December 15, 2026.</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3. Property and Equipment, Net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Property and equipment, net consisted of the following (in thousands):</w:t>
      </w:r>
      <w:r>
        <w:rPr>
          <w:rFonts w:ascii="Helvetica;Arial;sans-serif" w:hAnsi="Helvetica;Arial;sans-serif"/>
          <w:b w:val="false"/>
          <w:i w:val="false"/>
          <w:caps w:val="false"/>
          <w:smallCaps w:val="false"/>
          <w:color w:val="000000"/>
          <w:spacing w:val="4"/>
          <w:sz w:val="20"/>
        </w:rPr>
        <w:t xml:space="preserve"> </w:t>
      </w:r>
    </w:p>
    <w:tbl>
      <w:tblPr>
        <w:tblW w:w="6529" w:type="dxa"/>
        <w:jc w:val="left"/>
        <w:tblInd w:w="1393" w:type="dxa"/>
        <w:tblLayout w:type="fixed"/>
        <w:tblCellMar>
          <w:top w:w="0" w:type="dxa"/>
          <w:left w:w="0" w:type="dxa"/>
          <w:bottom w:w="28" w:type="dxa"/>
          <w:right w:w="0" w:type="dxa"/>
        </w:tblCellMar>
      </w:tblPr>
      <w:tblGrid>
        <w:gridCol w:w="3549"/>
        <w:gridCol w:w="109"/>
        <w:gridCol w:w="109"/>
        <w:gridCol w:w="109"/>
        <w:gridCol w:w="226"/>
        <w:gridCol w:w="706"/>
        <w:gridCol w:w="109"/>
        <w:gridCol w:w="109"/>
        <w:gridCol w:w="109"/>
        <w:gridCol w:w="109"/>
        <w:gridCol w:w="226"/>
        <w:gridCol w:w="796"/>
        <w:gridCol w:w="109"/>
        <w:gridCol w:w="154"/>
      </w:tblGrid>
      <w:tr>
        <w:trPr/>
        <w:tc>
          <w:tcPr>
            <w:tcW w:w="35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08" w:type="dxa"/>
            <w:gridSpan w:val="10"/>
            <w:tcBorders>
              <w:bottom w:val="single" w:sz="2" w:space="0" w:color="000000"/>
            </w:tcBorders>
            <w:tcMar>
              <w:bottom w:w="50" w:type="dxa"/>
            </w:tcMar>
            <w:vAlign w:val="center"/>
          </w:tcPr>
          <w:p>
            <w:pPr>
              <w:pStyle w:val="TableContents"/>
              <w:bidi w:val="0"/>
              <w:spacing w:before="0" w:after="0"/>
              <w:jc w:val="center"/>
              <w:rPr/>
            </w:pPr>
            <w:r>
              <w:rPr>
                <w:spacing w:val="-2"/>
              </w:rPr>
              <w:t>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Computer and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9" w:type="dxa"/>
            <w:tcBorders/>
            <w:tcMar>
              <w:bottom w:w="0" w:type="dxa"/>
            </w:tcMar>
            <w:vAlign w:val="center"/>
          </w:tcPr>
          <w:p>
            <w:pPr>
              <w:pStyle w:val="TableContents"/>
              <w:bidi w:val="0"/>
              <w:spacing w:before="0" w:after="0"/>
              <w:jc w:val="left"/>
              <w:rPr>
                <w:spacing w:val="-2"/>
              </w:rPr>
            </w:pPr>
            <w:r>
              <w:rPr>
                <w:spacing w:val="-2"/>
              </w:rPr>
              <w:t xml:space="preserve">Furniture and fixtures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Lab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3,680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5,805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Leasehold improvements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06" w:type="dxa"/>
            <w:tcBorders>
              <w:bottom w:val="single" w:sz="2" w:space="0" w:color="000000"/>
            </w:tcBorders>
            <w:tcMar>
              <w:bottom w:w="50" w:type="dxa"/>
            </w:tcMar>
            <w:vAlign w:val="center"/>
          </w:tcPr>
          <w:p>
            <w:pPr>
              <w:pStyle w:val="TableContents"/>
              <w:bidi w:val="0"/>
              <w:spacing w:before="0" w:after="283"/>
              <w:jc w:val="right"/>
              <w:rPr/>
            </w:pPr>
            <w:r>
              <w:rPr/>
              <w:t>1,066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1,066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property and equipment, gross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6" w:type="dxa"/>
            <w:tcBorders>
              <w:bottom w:val="single" w:sz="2" w:space="0" w:color="000000"/>
            </w:tcBorders>
            <w:shd w:fill="CCEEFF" w:val="clear"/>
            <w:tcMar>
              <w:bottom w:w="50" w:type="dxa"/>
            </w:tcMar>
            <w:vAlign w:val="center"/>
          </w:tcPr>
          <w:p>
            <w:pPr>
              <w:pStyle w:val="TableContents"/>
              <w:bidi w:val="0"/>
              <w:spacing w:before="0" w:after="283"/>
              <w:jc w:val="right"/>
              <w:rPr/>
            </w:pPr>
            <w:r>
              <w:rPr/>
              <w:t>4,786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7,085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4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Less: accumulated depreciation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06" w:type="dxa"/>
            <w:tcBorders>
              <w:bottom w:val="single" w:sz="2" w:space="0" w:color="000000"/>
            </w:tcBorders>
            <w:tcMar>
              <w:bottom w:w="50" w:type="dxa"/>
            </w:tcMar>
            <w:vAlign w:val="center"/>
          </w:tcPr>
          <w:p>
            <w:pPr>
              <w:pStyle w:val="TableContents"/>
              <w:bidi w:val="0"/>
              <w:spacing w:before="0" w:after="283"/>
              <w:jc w:val="right"/>
              <w:rPr/>
            </w:pPr>
            <w:r>
              <w:rPr/>
              <w:t>(424)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(1,596)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9" w:type="dxa"/>
            <w:tcBorders/>
            <w:shd w:fill="CCEEFF" w:val="clear"/>
            <w:tcMar>
              <w:bottom w:w="0" w:type="dxa"/>
            </w:tcMar>
            <w:vAlign w:val="center"/>
          </w:tcPr>
          <w:p>
            <w:pPr>
              <w:pStyle w:val="TableContents"/>
              <w:bidi w:val="0"/>
              <w:spacing w:before="0" w:after="0"/>
              <w:jc w:val="left"/>
              <w:rPr>
                <w:spacing w:val="-2"/>
              </w:rPr>
            </w:pPr>
            <w:r>
              <w:rPr>
                <w:spacing w:val="-2"/>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0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4,362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shd w:fill="CCEEFF" w:val="clear"/>
            <w:tcMar>
              <w:bottom w:w="50" w:type="dxa"/>
            </w:tcMar>
            <w:vAlign w:val="center"/>
          </w:tcPr>
          <w:p>
            <w:pPr>
              <w:pStyle w:val="TableContents"/>
              <w:bidi w:val="0"/>
              <w:spacing w:before="0" w:after="283"/>
              <w:jc w:val="right"/>
              <w:rPr/>
            </w:pPr>
            <w:r>
              <w:rPr/>
              <w:t>5,489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Total depreciation expense for the years ended December 31, 2024 and 2025 was $0.4 million and $1.2 million, respectively.</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4. Accrued Expenses and Other Current Liabilities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Accrued expenses and other current liabilities consisted of the following (in thousands):</w:t>
      </w:r>
      <w:r>
        <w:rPr>
          <w:rFonts w:ascii="Helvetica;Arial;sans-serif" w:hAnsi="Helvetica;Arial;sans-serif"/>
          <w:b w:val="false"/>
          <w:i w:val="false"/>
          <w:caps w:val="false"/>
          <w:smallCaps w:val="false"/>
          <w:color w:val="000000"/>
          <w:spacing w:val="4"/>
          <w:sz w:val="20"/>
        </w:rPr>
        <w:t xml:space="preserve"> </w:t>
      </w:r>
    </w:p>
    <w:tbl>
      <w:tblPr>
        <w:tblW w:w="7703" w:type="dxa"/>
        <w:jc w:val="left"/>
        <w:tblInd w:w="1393" w:type="dxa"/>
        <w:tblLayout w:type="fixed"/>
        <w:tblCellMar>
          <w:top w:w="0" w:type="dxa"/>
          <w:left w:w="0" w:type="dxa"/>
          <w:bottom w:w="28" w:type="dxa"/>
          <w:right w:w="0" w:type="dxa"/>
        </w:tblCellMar>
      </w:tblPr>
      <w:tblGrid>
        <w:gridCol w:w="4873"/>
        <w:gridCol w:w="109"/>
        <w:gridCol w:w="109"/>
        <w:gridCol w:w="109"/>
        <w:gridCol w:w="226"/>
        <w:gridCol w:w="706"/>
        <w:gridCol w:w="109"/>
        <w:gridCol w:w="109"/>
        <w:gridCol w:w="109"/>
        <w:gridCol w:w="109"/>
        <w:gridCol w:w="226"/>
        <w:gridCol w:w="646"/>
        <w:gridCol w:w="109"/>
        <w:gridCol w:w="154"/>
      </w:tblGrid>
      <w:tr>
        <w:trPr/>
        <w:tc>
          <w:tcPr>
            <w:tcW w:w="48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58" w:type="dxa"/>
            <w:gridSpan w:val="10"/>
            <w:tcBorders>
              <w:bottom w:val="single" w:sz="2" w:space="0" w:color="000000"/>
            </w:tcBorders>
            <w:tcMar>
              <w:bottom w:w="50" w:type="dxa"/>
            </w:tcMar>
            <w:vAlign w:val="center"/>
          </w:tcPr>
          <w:p>
            <w:pPr>
              <w:pStyle w:val="TableContents"/>
              <w:bidi w:val="0"/>
              <w:spacing w:before="0" w:after="0"/>
              <w:jc w:val="center"/>
              <w:rPr/>
            </w:pPr>
            <w:r>
              <w:rPr>
                <w:spacing w:val="-2"/>
              </w:rPr>
              <w:t>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73" w:type="dxa"/>
            <w:tcBorders/>
            <w:shd w:fill="CCEEFF" w:val="clear"/>
            <w:tcMar>
              <w:bottom w:w="0" w:type="dxa"/>
            </w:tcMar>
            <w:vAlign w:val="center"/>
          </w:tcPr>
          <w:p>
            <w:pPr>
              <w:pStyle w:val="TableContents"/>
              <w:bidi w:val="0"/>
              <w:spacing w:before="0" w:after="0"/>
              <w:jc w:val="left"/>
              <w:rPr>
                <w:spacing w:val="-2"/>
              </w:rPr>
            </w:pPr>
            <w:r>
              <w:rPr>
                <w:spacing w:val="-2"/>
              </w:rPr>
              <w:t xml:space="preserve">Payroll and employee-related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73" w:type="dxa"/>
            <w:tcBorders/>
            <w:tcMar>
              <w:bottom w:w="0" w:type="dxa"/>
            </w:tcMar>
            <w:vAlign w:val="center"/>
          </w:tcPr>
          <w:p>
            <w:pPr>
              <w:pStyle w:val="TableContents"/>
              <w:bidi w:val="0"/>
              <w:spacing w:before="0" w:after="0"/>
              <w:jc w:val="left"/>
              <w:rPr>
                <w:spacing w:val="-2"/>
              </w:rPr>
            </w:pPr>
            <w:r>
              <w:rPr>
                <w:spacing w:val="-2"/>
              </w:rPr>
              <w:t xml:space="preserve">Research and development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204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73"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6" w:type="dxa"/>
            <w:tcBorders>
              <w:bottom w:val="single" w:sz="2" w:space="0" w:color="000000"/>
            </w:tcBorders>
            <w:shd w:fill="CCEEFF" w:val="clear"/>
            <w:tcMar>
              <w:bottom w:w="50" w:type="dxa"/>
            </w:tcMar>
            <w:vAlign w:val="center"/>
          </w:tcPr>
          <w:p>
            <w:pPr>
              <w:pStyle w:val="TableContents"/>
              <w:bidi w:val="0"/>
              <w:spacing w:before="0" w:after="283"/>
              <w:jc w:val="right"/>
              <w:rPr/>
            </w:pPr>
            <w:r>
              <w:rPr/>
              <w:t>198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928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73" w:type="dxa"/>
            <w:tcBorders/>
            <w:tcMar>
              <w:bottom w:w="0" w:type="dxa"/>
            </w:tcMar>
            <w:vAlign w:val="center"/>
          </w:tcPr>
          <w:p>
            <w:pPr>
              <w:pStyle w:val="TableContents"/>
              <w:bidi w:val="0"/>
              <w:spacing w:before="0" w:after="0"/>
              <w:jc w:val="left"/>
              <w:rPr>
                <w:spacing w:val="-2"/>
              </w:rPr>
            </w:pPr>
            <w:r>
              <w:rPr>
                <w:spacing w:val="-2"/>
              </w:rPr>
              <w:t xml:space="preserve">Total accrued expenses and other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06" w:type="dxa"/>
            <w:tcBorders>
              <w:bottom w:val="double" w:sz="8" w:space="0" w:color="000000"/>
            </w:tcBorders>
            <w:tcMar>
              <w:bottom w:w="50" w:type="dxa"/>
            </w:tcMar>
            <w:vAlign w:val="center"/>
          </w:tcPr>
          <w:p>
            <w:pPr>
              <w:pStyle w:val="TableContents"/>
              <w:bidi w:val="0"/>
              <w:spacing w:before="0" w:after="283"/>
              <w:jc w:val="right"/>
              <w:rPr/>
            </w:pPr>
            <w:r>
              <w:rPr/>
              <w:t xml:space="preserve">1,289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5,570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5. Convertible Notes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Original Notes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January and February 2024, the Company issued a series of four convertible notes (the Original Notes) to ARCH Venture Fund XII L.P. (ARCH) and one of the Company’s founders (the Founder) for aggregate cash proceeds of $5.0 million. The Original Notes accrued interest at a rate of 7% per annum. The Company elected the fair value option to account for the Original Notes.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April 2024, in connection with the execution of the Company’s Series A Convertible Preferred Stock Purchase Agreement (Series A Agreement), the outstanding principal and accrued interest under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5. Convertible Notes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Original Notes were automatically converted into 560,964 shares of Series A convertible preferred stock at a discounted conversion price of $9.02655 per share. This price reflects a 10% discount to the $10.0295 per share purchase price paid by new investors in the Series A financing. The conversion of the Original Notes was accounted for as an extinguishment of debt. The Company recognized the fair value of the Series A convertible preferred stock issued upon conversion in temporary equity on the consolidated balance sheet. As a result, the Company recorded an adjustment of $0.6 million on the Original Notes which was included in total other income, net, in the consolidated statements of operations and comprehensive loss.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B+L Note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July 2024, the Company, in connection with the research and license agreement entered into with Bausch + Lomb (Note 9), issued a convertible note (B+L Note) to Bausch + Lomb for cash proceeds of $10.0 million. The B+L Note was issued at fair value. The B+L Note bears interest at a rate of 8% per annum and matures on July 8, 2027, unless earlier converted into equity securities of the Company. The Company elected the fair value option to account for the B+L Note. Accordingly, the Company recorded the B+L Note at fair value upon issuance and at each reporting period until settlement, with changes in fair value recorded in the consolidated statements of operations and comprehensive loss.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principal and accrued interest under the B+L Note will automatically convert into equity securities upon the initial closing of the Company’s next equity financing in which the Company raises at least $50.0 million of cash proceeds. The holder of the B+L Note may also elect to convert the note into the equity securities sold in the next equity financing in which the Company raises less than $50.0 million in cash proceeds. The number of shares issued upon conversion will equal the outstanding principal and accrued interest divided by a conversion price equal to 85% of the price paid per share by cash investors in such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note purchase agreement contains customary events of default, such as failure to pay amounts when due, bankruptcy, and certain material adverse changes. Upon the occurrence of an event of default (and after any applicable cure periods), all outstanding amounts under the B+L Note may be declared immediately due and payable.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years ended December 31, 2024 and 2025, the Company recognized $0.4 million and $0.8 million of interest expense related to the B+L Note, respectively. The Company recognized a loss on change in fair value within total other income, net, in the consolidated statements of operations and comprehensive loss for the B+L Note in the amount of $0.3 million and $0.5 million for the years ended December 31, 2024 and 2025, respectively. The fair value of the B+L Note as of December 31, 2024 and 2025 was $10.3 million and $10.8 million,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Biogen Note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May 2025, the Company, in connection with the research collaboration and license agreement entered into with Biogen (Note 9), issued a convertible note (Biogen Note) to Biogen for cash proceeds of $30.0 million. The Biogen Note was issued at fair value. The Biogen Note bears interest at a rate of 8% per annum and matures on July 1, 2027, unless earlier converted into equity securities of the Company. The Company elected the fair value option to account for the Biogen Note. Accordingly, the Company recorded the Biogen Note at fair value upon issuance and at each reporting period until settlement, with changes in fair value recorded in the consolidated statements of operations and comprehensive loss.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principal and accrued interest under the Biogen Note will automatically convert into shares of the Company’s equity securities upon the earlier of (i) the initial closing of the Company’s next qualified equity financing in which the Company raises at least $100.0 million of cash proceeds or (ii) the closing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5. Convertible Notes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Company’s IPO. In the case of a qualified equity financing, the Biogen Note will convert into shares of preferred stock issued in such financing. In the case of an IPO, the Biogen Note will convert into shares of common stock issued in such offering. If the Biogen Note remains outstanding as of June 30, 2027, the outstanding principal and accrued interest will automatically convert into shares of preferred stock of the Company’s most recently completed equity financing. In each case, the number of shares issued upon conversion will equal the outstanding principal and accrued interest divided by a conversion price equal to 85% of the price paid per share by cash investors in the applicable financing.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note purchase agreement contains customary events of default, such as failure to pay amounts when due, bankruptcy, and certain material adverse changes. Upon the occurrence of an event of default (and after any applicable cure periods), all outstanding amounts under the Biogen Note may be declared immediately due and payable.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year ended December 31, 2025, the Company recognized $1.5 million of interest expense related to the Biogen Note. The Company recognized a loss on change in fair value within total other income, net, in the consolidated statements of operations and comprehensive loss for the Biogen Note in the amount of $1.1 million for the year ended December 31, 2025. The loss on change in fair value primarily reflects the passage of time as the note accreted toward its expected conversion value, with a remaining estimated time to settlement of 1.25 years as of December 31, 2025. The fair value of the Biogen Note as of December 31, 2025 was $31.1 million.</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6. Fair Value of Financial Instruments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tables present information about the Company’s financial assets and liabilities that are measured at fair value on a recurring basis and indicate the fair value hierarchy of the valuation techniques the Company utilized to determine such fair value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786"/>
        <w:gridCol w:w="109"/>
        <w:gridCol w:w="109"/>
        <w:gridCol w:w="109"/>
        <w:gridCol w:w="226"/>
        <w:gridCol w:w="822"/>
        <w:gridCol w:w="109"/>
        <w:gridCol w:w="109"/>
        <w:gridCol w:w="109"/>
        <w:gridCol w:w="109"/>
        <w:gridCol w:w="226"/>
        <w:gridCol w:w="822"/>
        <w:gridCol w:w="109"/>
        <w:gridCol w:w="109"/>
        <w:gridCol w:w="109"/>
        <w:gridCol w:w="109"/>
        <w:gridCol w:w="226"/>
        <w:gridCol w:w="812"/>
        <w:gridCol w:w="109"/>
        <w:gridCol w:w="109"/>
        <w:gridCol w:w="109"/>
        <w:gridCol w:w="109"/>
        <w:gridCol w:w="226"/>
        <w:gridCol w:w="766"/>
        <w:gridCol w:w="109"/>
        <w:gridCol w:w="156"/>
      </w:tblGrid>
      <w:tr>
        <w:trPr/>
        <w:tc>
          <w:tcPr>
            <w:tcW w:w="27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52" w:type="dxa"/>
            <w:gridSpan w:val="22"/>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Fair Value Measurements as of December 31, 2024: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7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786" w:type="dxa"/>
            <w:tcBorders/>
            <w:shd w:fill="CCEEFF" w:val="clear"/>
            <w:tcMar>
              <w:bottom w:w="0" w:type="dxa"/>
            </w:tcMar>
            <w:vAlign w:val="center"/>
          </w:tcPr>
          <w:p>
            <w:pPr>
              <w:pStyle w:val="TableContents"/>
              <w:bidi w:val="0"/>
              <w:spacing w:before="0" w:after="283"/>
              <w:jc w:val="left"/>
              <w:rPr/>
            </w:pPr>
            <w:r>
              <w:rPr>
                <w:spacing w:val="-2"/>
              </w:rPr>
              <w:t>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786"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Convertible debt, net of 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22"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22"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2" w:type="dxa"/>
            <w:tcBorders>
              <w:bottom w:val="single" w:sz="2" w:space="0" w:color="000000"/>
            </w:tcBorders>
            <w:tcMar>
              <w:bottom w:w="50" w:type="dxa"/>
            </w:tcMar>
            <w:vAlign w:val="center"/>
          </w:tcPr>
          <w:p>
            <w:pPr>
              <w:pStyle w:val="TableContents"/>
              <w:bidi w:val="0"/>
              <w:spacing w:before="0" w:after="283"/>
              <w:jc w:val="right"/>
              <w:rPr/>
            </w:pPr>
            <w:r>
              <w:rPr/>
              <w:t>10,276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10,276</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786" w:type="dxa"/>
            <w:tcBorders/>
            <w:shd w:fill="CCEEFF" w:val="clear"/>
            <w:tcMar>
              <w:bottom w:w="0" w:type="dxa"/>
            </w:tcMar>
            <w:vAlign w:val="center"/>
          </w:tcPr>
          <w:p>
            <w:pPr>
              <w:pStyle w:val="TableContents"/>
              <w:bidi w:val="0"/>
              <w:spacing w:before="0" w:after="0"/>
              <w:jc w:val="left"/>
              <w:rPr>
                <w:b/>
              </w:rPr>
            </w:pPr>
            <w:r>
              <w:rPr>
                <w:b/>
                <w:spacing w:val="-2"/>
              </w:rPr>
              <w:t>Total liabilities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2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2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2"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10,276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10,276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2786"/>
        <w:gridCol w:w="109"/>
        <w:gridCol w:w="109"/>
        <w:gridCol w:w="109"/>
        <w:gridCol w:w="226"/>
        <w:gridCol w:w="822"/>
        <w:gridCol w:w="109"/>
        <w:gridCol w:w="109"/>
        <w:gridCol w:w="109"/>
        <w:gridCol w:w="109"/>
        <w:gridCol w:w="226"/>
        <w:gridCol w:w="822"/>
        <w:gridCol w:w="109"/>
        <w:gridCol w:w="109"/>
        <w:gridCol w:w="109"/>
        <w:gridCol w:w="109"/>
        <w:gridCol w:w="226"/>
        <w:gridCol w:w="812"/>
        <w:gridCol w:w="109"/>
        <w:gridCol w:w="109"/>
        <w:gridCol w:w="109"/>
        <w:gridCol w:w="109"/>
        <w:gridCol w:w="226"/>
        <w:gridCol w:w="766"/>
        <w:gridCol w:w="109"/>
        <w:gridCol w:w="156"/>
      </w:tblGrid>
      <w:tr>
        <w:trPr/>
        <w:tc>
          <w:tcPr>
            <w:tcW w:w="27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52" w:type="dxa"/>
            <w:gridSpan w:val="22"/>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Fair Value Measurements as of December 31, 2025: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7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786" w:type="dxa"/>
            <w:tcBorders/>
            <w:shd w:fill="CCEEFF" w:val="clear"/>
            <w:tcMar>
              <w:bottom w:w="0" w:type="dxa"/>
            </w:tcMar>
            <w:vAlign w:val="center"/>
          </w:tcPr>
          <w:p>
            <w:pPr>
              <w:pStyle w:val="TableContents"/>
              <w:bidi w:val="0"/>
              <w:spacing w:before="0" w:after="283"/>
              <w:jc w:val="left"/>
              <w:rPr/>
            </w:pPr>
            <w:r>
              <w:rPr>
                <w:spacing w:val="-2"/>
              </w:rPr>
              <w:t>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786"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Convertible debt, net of 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22"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22"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2" w:type="dxa"/>
            <w:tcBorders>
              <w:bottom w:val="single" w:sz="2" w:space="0" w:color="000000"/>
            </w:tcBorders>
            <w:tcMar>
              <w:bottom w:w="50" w:type="dxa"/>
            </w:tcMar>
            <w:vAlign w:val="center"/>
          </w:tcPr>
          <w:p>
            <w:pPr>
              <w:pStyle w:val="TableContents"/>
              <w:bidi w:val="0"/>
              <w:spacing w:before="0" w:after="283"/>
              <w:jc w:val="right"/>
              <w:rPr/>
            </w:pPr>
            <w:r>
              <w:rPr/>
              <w:t>41,868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41,868</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786" w:type="dxa"/>
            <w:tcBorders/>
            <w:shd w:fill="CCEEFF" w:val="clear"/>
            <w:tcMar>
              <w:bottom w:w="0" w:type="dxa"/>
            </w:tcMar>
            <w:vAlign w:val="center"/>
          </w:tcPr>
          <w:p>
            <w:pPr>
              <w:pStyle w:val="TableContents"/>
              <w:bidi w:val="0"/>
              <w:spacing w:before="0" w:after="0"/>
              <w:jc w:val="left"/>
              <w:rPr>
                <w:b/>
              </w:rPr>
            </w:pPr>
            <w:r>
              <w:rPr>
                <w:b/>
                <w:spacing w:val="-2"/>
              </w:rPr>
              <w:t>Total liabilities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22"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2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2"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41,868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have been no transfers between fair value levels during the years ended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Convertible Notes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As further described in Note 5, the Company issued convertible notes to ARCH, a Company Founder and Bausch + Lomb in January, February and July 2024, respectively. The convertible note issued to Bausch + Lomb was in connection with a research collaboration and license agreement. In May 2025, the Company issued a convertible note to Biogen in connection with a research collaboration and license agreement. The Company elected the fair value option for each of the convertible note issuances. The fair value of each of the convertible notes was estimated using a scenario-based analysis that estimates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651"/>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6. Fair Value of Financial Instruments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fair value based on the probability-weighted present value of expected future investment returns, considering each of the possible outcomes available to the noteholder.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notes issued to ARCH and the Founder, as described in Note 5, were converted into Series A convertible preferred stock in April 2024. The notes issued to Bausch + Lomb and Biogen remain outstanding as of December 31,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 adjusts the carrying value of its convertible notes to their estimated fair value at each reporting date, with any related increases or decreases recorded as change in fair value of convertible notes within total other income, net, in the consolidated statement of operations and comprehensive loss. </w:t>
      </w:r>
    </w:p>
    <w:p>
      <w:pPr>
        <w:pStyle w:val="TextBody"/>
        <w:bidi w:val="0"/>
        <w:spacing w:lineRule="atLeast" w:line="25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For the year ended December 31, 2024, the Company recognized a net loss on change in fair value of convertible notes of $0.9 million in the consolidated statements of operations and comprehensive loss, consisting of a loss on change in fair value of the B+L Note of $0.3 million and a loss on change in fair value of the ARCH and Founder notes of $0.6 million. For the year ended December 31, 2025, the Company recognized a net loss on change in fair value of convertible notes of $1.6 million in the consolidated statements of operations and comprehensive loss, consisting of a loss on change in fair value of the Biogen Note of $1.1 million and a loss on change in fair value of the B+L Note of $0.5 million.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information about the significant unobservable inputs used in the fair value measurements for the B+L Note and the Biogen Note as of December 31, 2024 and 2025, respectively:</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958"/>
        <w:gridCol w:w="109"/>
        <w:gridCol w:w="109"/>
        <w:gridCol w:w="124"/>
        <w:gridCol w:w="259"/>
        <w:gridCol w:w="878"/>
        <w:gridCol w:w="124"/>
        <w:gridCol w:w="109"/>
        <w:gridCol w:w="109"/>
        <w:gridCol w:w="124"/>
        <w:gridCol w:w="259"/>
        <w:gridCol w:w="878"/>
        <w:gridCol w:w="124"/>
        <w:gridCol w:w="109"/>
        <w:gridCol w:w="109"/>
        <w:gridCol w:w="1459"/>
        <w:gridCol w:w="109"/>
        <w:gridCol w:w="109"/>
        <w:gridCol w:w="1385"/>
        <w:gridCol w:w="109"/>
        <w:gridCol w:w="109"/>
        <w:gridCol w:w="988"/>
        <w:gridCol w:w="162"/>
      </w:tblGrid>
      <w:tr>
        <w:trPr/>
        <w:tc>
          <w:tcPr>
            <w:tcW w:w="95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5"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initial</w:t>
            </w:r>
            <w:r>
              <w:rPr/>
              <w:t xml:space="preserve"> </w:t>
              <w:br/>
            </w:r>
            <w:r>
              <w:rPr>
                <w:spacing w:val="-2"/>
              </w:rPr>
              <w:t>valuation</w:t>
            </w:r>
            <w:r>
              <w:rPr/>
              <w:t xml:space="preserve"> </w:t>
              <w:br/>
            </w:r>
            <w:r>
              <w:rPr>
                <w:spacing w:val="-2"/>
              </w:rPr>
              <w:t xml:space="preserve">date </w:t>
            </w:r>
            <w:r>
              <w:rPr/>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5"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period end</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9" w:type="dxa"/>
            <w:tcBorders>
              <w:bottom w:val="single" w:sz="2" w:space="0" w:color="000000"/>
            </w:tcBorders>
            <w:tcMar>
              <w:bottom w:w="42" w:type="dxa"/>
            </w:tcMar>
            <w:vAlign w:val="center"/>
          </w:tcPr>
          <w:p>
            <w:pPr>
              <w:pStyle w:val="TableContents"/>
              <w:bidi w:val="0"/>
              <w:spacing w:before="0" w:after="0"/>
              <w:jc w:val="center"/>
              <w:rPr/>
            </w:pPr>
            <w:r>
              <w:rPr>
                <w:spacing w:val="-2"/>
              </w:rPr>
              <w:t>Expected</w:t>
            </w:r>
            <w:r>
              <w:rPr/>
              <w:t xml:space="preserve"> </w:t>
              <w:br/>
            </w:r>
            <w:r>
              <w:rPr>
                <w:spacing w:val="-2"/>
              </w:rPr>
              <w:t xml:space="preserve">settlement </w:t>
            </w:r>
            <w:r>
              <w:rPr/>
              <w:br/>
            </w:r>
            <w:r>
              <w:rPr>
                <w:spacing w:val="-2"/>
              </w:rPr>
              <w:t>options</w:t>
            </w:r>
            <w:r>
              <w:rPr/>
              <w:t xml:space="preserve"> </w:t>
              <w:br/>
            </w:r>
            <w:r>
              <w:rPr>
                <w:spacing w:val="-2"/>
              </w:rPr>
              <w:t>(and relative</w:t>
            </w:r>
            <w:r>
              <w:rPr/>
              <w:t xml:space="preserve"> </w:t>
              <w:br/>
            </w:r>
            <w:r>
              <w:rPr>
                <w:spacing w:val="-2"/>
              </w:rPr>
              <w:t xml:space="preserve">weighting)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5" w:type="dxa"/>
            <w:tcBorders>
              <w:bottom w:val="single" w:sz="2" w:space="0" w:color="000000"/>
            </w:tcBorders>
            <w:tcMar>
              <w:bottom w:w="42" w:type="dxa"/>
            </w:tcMar>
            <w:vAlign w:val="center"/>
          </w:tcPr>
          <w:p>
            <w:pPr>
              <w:pStyle w:val="TableContents"/>
              <w:bidi w:val="0"/>
              <w:spacing w:before="0" w:after="0"/>
              <w:jc w:val="center"/>
              <w:rPr/>
            </w:pPr>
            <w:r>
              <w:rPr>
                <w:spacing w:val="-2"/>
              </w:rPr>
              <w:t>Key</w:t>
            </w:r>
            <w:r>
              <w:rPr/>
              <w:t xml:space="preserve"> </w:t>
              <w:br/>
            </w:r>
            <w:r>
              <w:rPr>
                <w:spacing w:val="-2"/>
              </w:rPr>
              <w:t>unobservable</w:t>
            </w:r>
            <w:r>
              <w:rPr/>
              <w:t xml:space="preserve"> </w:t>
              <w:br/>
            </w:r>
            <w:r>
              <w:rPr>
                <w:spacing w:val="-2"/>
              </w:rPr>
              <w:t xml:space="preserve">inputs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8" w:type="dxa"/>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Range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958" w:type="dxa"/>
            <w:tcBorders/>
            <w:shd w:fill="CCEEFF" w:val="clear"/>
            <w:tcMar>
              <w:bottom w:w="0" w:type="dxa"/>
            </w:tcMar>
            <w:vAlign w:val="center"/>
          </w:tcPr>
          <w:p>
            <w:pPr>
              <w:pStyle w:val="TableContents"/>
              <w:bidi w:val="0"/>
              <w:spacing w:lineRule="atLeast" w:line="192" w:before="0" w:after="0"/>
              <w:jc w:val="left"/>
              <w:rPr>
                <w:spacing w:val="-2"/>
              </w:rPr>
            </w:pPr>
            <w:r>
              <w:rPr>
                <w:spacing w:val="-2"/>
              </w:rPr>
              <w:t xml:space="preserve">B+L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9" w:type="dxa"/>
            <w:tcBorders>
              <w:bottom w:val="double" w:sz="8" w:space="0" w:color="000000"/>
            </w:tcBorders>
            <w:shd w:fill="CCEEFF" w:val="clear"/>
            <w:tcMar>
              <w:bottom w:w="42" w:type="dxa"/>
            </w:tcMar>
            <w:vAlign w:val="center"/>
          </w:tcPr>
          <w:p>
            <w:pPr>
              <w:pStyle w:val="TableContents"/>
              <w:bidi w:val="0"/>
              <w:spacing w:before="0" w:after="283"/>
              <w:jc w:val="right"/>
              <w:rPr/>
            </w:pPr>
            <w:r>
              <w:rPr/>
              <w:t>$</w:t>
            </w:r>
          </w:p>
        </w:tc>
        <w:tc>
          <w:tcPr>
            <w:tcW w:w="878" w:type="dxa"/>
            <w:tcBorders>
              <w:bottom w:val="double" w:sz="8" w:space="0" w:color="000000"/>
            </w:tcBorders>
            <w:shd w:fill="CCEEFF" w:val="clear"/>
            <w:tcMar>
              <w:bottom w:w="42" w:type="dxa"/>
            </w:tcMar>
            <w:vAlign w:val="center"/>
          </w:tcPr>
          <w:p>
            <w:pPr>
              <w:pStyle w:val="TableContents"/>
              <w:bidi w:val="0"/>
              <w:spacing w:before="0" w:after="283"/>
              <w:jc w:val="right"/>
              <w:rPr/>
            </w:pPr>
            <w:r>
              <w:rPr/>
              <w:t>10,000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9" w:type="dxa"/>
            <w:tcBorders>
              <w:bottom w:val="double" w:sz="8" w:space="0" w:color="000000"/>
            </w:tcBorders>
            <w:shd w:fill="CCEEFF" w:val="clear"/>
            <w:tcMar>
              <w:bottom w:w="42" w:type="dxa"/>
            </w:tcMar>
            <w:vAlign w:val="center"/>
          </w:tcPr>
          <w:p>
            <w:pPr>
              <w:pStyle w:val="TableContents"/>
              <w:bidi w:val="0"/>
              <w:spacing w:before="0" w:after="283"/>
              <w:jc w:val="right"/>
              <w:rPr/>
            </w:pPr>
            <w:r>
              <w:rPr/>
              <w:t>$</w:t>
            </w:r>
          </w:p>
        </w:tc>
        <w:tc>
          <w:tcPr>
            <w:tcW w:w="878" w:type="dxa"/>
            <w:tcBorders>
              <w:bottom w:val="double" w:sz="8" w:space="0" w:color="000000"/>
            </w:tcBorders>
            <w:shd w:fill="CCEEFF" w:val="clear"/>
            <w:tcMar>
              <w:bottom w:w="42" w:type="dxa"/>
            </w:tcMar>
            <w:vAlign w:val="center"/>
          </w:tcPr>
          <w:p>
            <w:pPr>
              <w:pStyle w:val="TableContents"/>
              <w:bidi w:val="0"/>
              <w:spacing w:before="0" w:after="283"/>
              <w:jc w:val="right"/>
              <w:rPr/>
            </w:pPr>
            <w:r>
              <w:rPr/>
              <w:t>10,276</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9" w:type="dxa"/>
            <w:tcBorders>
              <w:bottom w:val="double" w:sz="8" w:space="0" w:color="000000"/>
            </w:tcBorders>
            <w:shd w:fill="CCEEFF" w:val="clear"/>
            <w:tcMar>
              <w:bottom w:w="42" w:type="dxa"/>
            </w:tcMar>
            <w:vAlign w:val="center"/>
          </w:tcPr>
          <w:p>
            <w:pPr>
              <w:pStyle w:val="TableContents"/>
              <w:bidi w:val="0"/>
              <w:spacing w:before="0" w:after="0"/>
              <w:ind w:left="160" w:right="0" w:hanging="160"/>
              <w:jc w:val="center"/>
              <w:rPr/>
            </w:pPr>
            <w:r>
              <w:rPr>
                <w:spacing w:val="-2"/>
              </w:rPr>
              <w:t xml:space="preserve">Equity </w:t>
            </w:r>
            <w:r>
              <w:rPr/>
              <w:br/>
            </w:r>
            <w:r>
              <w:rPr>
                <w:spacing w:val="-2"/>
              </w:rPr>
              <w:t>financing (95%)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5" w:type="dxa"/>
            <w:tcBorders>
              <w:bottom w:val="double" w:sz="8" w:space="0" w:color="000000"/>
            </w:tcBorders>
            <w:shd w:fill="CCEEFF" w:val="clear"/>
            <w:tcMar>
              <w:bottom w:w="42" w:type="dxa"/>
            </w:tcMar>
            <w:vAlign w:val="center"/>
          </w:tcPr>
          <w:p>
            <w:pPr>
              <w:pStyle w:val="TableContents"/>
              <w:bidi w:val="0"/>
              <w:spacing w:before="0" w:after="0"/>
              <w:jc w:val="center"/>
              <w:rPr>
                <w:spacing w:val="-2"/>
              </w:rPr>
            </w:pPr>
            <w:r>
              <w:rPr>
                <w:spacing w:val="-2"/>
              </w:rPr>
              <w:t xml:space="preserve">Estimated </w:t>
            </w:r>
          </w:p>
          <w:p>
            <w:pPr>
              <w:pStyle w:val="TableContents"/>
              <w:bidi w:val="0"/>
              <w:spacing w:lineRule="atLeast" w:line="192" w:before="0" w:after="283"/>
              <w:ind w:left="160" w:right="0" w:hanging="0"/>
              <w:jc w:val="center"/>
              <w:rPr/>
            </w:pPr>
            <w:r>
              <w:rPr>
                <w:spacing w:val="-2"/>
              </w:rPr>
              <w:t xml:space="preserve">time to </w:t>
            </w:r>
            <w:r>
              <w:rPr/>
              <w:br/>
            </w:r>
            <w:r>
              <w:rPr>
                <w:spacing w:val="-2"/>
              </w:rPr>
              <w:t>settlement</w:t>
            </w:r>
            <w:r>
              <w:rPr/>
              <w:t xml:space="preserve"> </w:t>
            </w:r>
          </w:p>
          <w:p>
            <w:pPr>
              <w:pStyle w:val="TableContents"/>
              <w:bidi w:val="0"/>
              <w:spacing w:before="92" w:after="283"/>
              <w:jc w:val="center"/>
              <w:rPr>
                <w:spacing w:val="-2"/>
              </w:rPr>
            </w:pPr>
            <w:r>
              <w:rPr>
                <w:spacing w:val="-2"/>
              </w:rPr>
              <w:t xml:space="preserve">Discount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88" w:type="dxa"/>
            <w:tcBorders>
              <w:bottom w:val="double" w:sz="8" w:space="0" w:color="000000"/>
            </w:tcBorders>
            <w:shd w:fill="CCEEFF" w:val="clear"/>
            <w:tcMar>
              <w:bottom w:w="42" w:type="dxa"/>
            </w:tcMar>
            <w:vAlign w:val="center"/>
          </w:tcPr>
          <w:p>
            <w:pPr>
              <w:pStyle w:val="TableContents"/>
              <w:bidi w:val="0"/>
              <w:spacing w:before="0" w:after="0"/>
              <w:jc w:val="center"/>
              <w:rPr/>
            </w:pPr>
            <w:r>
              <w:rPr>
                <w:spacing w:val="-2"/>
              </w:rPr>
              <w:t>0.5 years</w:t>
            </w:r>
            <w:r>
              <w:rPr/>
              <w:t xml:space="preserve"> </w:t>
            </w:r>
          </w:p>
          <w:p>
            <w:pPr>
              <w:pStyle w:val="TableContents"/>
              <w:bidi w:val="0"/>
              <w:spacing w:before="60" w:after="283"/>
              <w:jc w:val="center"/>
              <w:rPr/>
            </w:pPr>
            <w:r>
              <w:rPr>
                <w:spacing w:val="-2"/>
              </w:rPr>
              <w:t>18.17%</w:t>
            </w:r>
            <w:r>
              <w:rPr/>
              <w:t xml:space="preserve"> </w:t>
            </w:r>
          </w:p>
        </w:tc>
        <w:tc>
          <w:tcPr>
            <w:tcW w:w="162"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1079"/>
        <w:gridCol w:w="109"/>
        <w:gridCol w:w="109"/>
        <w:gridCol w:w="120"/>
        <w:gridCol w:w="250"/>
        <w:gridCol w:w="847"/>
        <w:gridCol w:w="120"/>
        <w:gridCol w:w="109"/>
        <w:gridCol w:w="109"/>
        <w:gridCol w:w="120"/>
        <w:gridCol w:w="250"/>
        <w:gridCol w:w="847"/>
        <w:gridCol w:w="120"/>
        <w:gridCol w:w="109"/>
        <w:gridCol w:w="109"/>
        <w:gridCol w:w="1341"/>
        <w:gridCol w:w="109"/>
        <w:gridCol w:w="109"/>
        <w:gridCol w:w="1373"/>
        <w:gridCol w:w="109"/>
        <w:gridCol w:w="109"/>
        <w:gridCol w:w="1095"/>
        <w:gridCol w:w="160"/>
      </w:tblGrid>
      <w:tr>
        <w:trPr/>
        <w:tc>
          <w:tcPr>
            <w:tcW w:w="10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7"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initial</w:t>
            </w:r>
            <w:r>
              <w:rPr/>
              <w:t xml:space="preserve"> </w:t>
              <w:br/>
            </w:r>
            <w:r>
              <w:rPr>
                <w:spacing w:val="-2"/>
              </w:rPr>
              <w:t>valuation</w:t>
            </w:r>
            <w:r>
              <w:rPr/>
              <w:t xml:space="preserve"> </w:t>
              <w:br/>
            </w:r>
            <w:r>
              <w:rPr>
                <w:spacing w:val="-2"/>
              </w:rPr>
              <w:t xml:space="preserve">date </w:t>
            </w:r>
            <w:r>
              <w:rPr/>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7"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Fair value as</w:t>
            </w:r>
            <w:r>
              <w:rPr/>
              <w:t xml:space="preserve"> </w:t>
              <w:br/>
            </w:r>
            <w:r>
              <w:rPr>
                <w:spacing w:val="-2"/>
              </w:rPr>
              <w:t>of period end</w:t>
            </w:r>
            <w:r>
              <w:rPr/>
              <w:t xml:space="preserve"> </w:t>
              <w:br/>
            </w:r>
            <w:r>
              <w:rPr>
                <w:spacing w:val="-2"/>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1" w:type="dxa"/>
            <w:tcBorders>
              <w:bottom w:val="single" w:sz="2" w:space="0" w:color="000000"/>
            </w:tcBorders>
            <w:tcMar>
              <w:bottom w:w="42" w:type="dxa"/>
            </w:tcMar>
            <w:vAlign w:val="center"/>
          </w:tcPr>
          <w:p>
            <w:pPr>
              <w:pStyle w:val="TableContents"/>
              <w:bidi w:val="0"/>
              <w:spacing w:before="0" w:after="0"/>
              <w:jc w:val="center"/>
              <w:rPr/>
            </w:pPr>
            <w:r>
              <w:rPr>
                <w:spacing w:val="-2"/>
              </w:rPr>
              <w:t>Expected</w:t>
            </w:r>
            <w:r>
              <w:rPr/>
              <w:t xml:space="preserve"> </w:t>
              <w:br/>
            </w:r>
            <w:r>
              <w:rPr>
                <w:spacing w:val="-2"/>
              </w:rPr>
              <w:t xml:space="preserve">settlement </w:t>
            </w:r>
            <w:r>
              <w:rPr/>
              <w:br/>
            </w:r>
            <w:r>
              <w:rPr>
                <w:spacing w:val="-2"/>
              </w:rPr>
              <w:t>options</w:t>
            </w:r>
            <w:r>
              <w:rPr/>
              <w:t xml:space="preserve"> </w:t>
              <w:br/>
            </w:r>
            <w:r>
              <w:rPr>
                <w:spacing w:val="-2"/>
              </w:rPr>
              <w:t>(and relative</w:t>
            </w:r>
            <w:r>
              <w:rPr/>
              <w:t xml:space="preserve"> </w:t>
              <w:br/>
            </w:r>
            <w:r>
              <w:rPr>
                <w:spacing w:val="-2"/>
              </w:rPr>
              <w:t xml:space="preserve">weighting)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3" w:type="dxa"/>
            <w:tcBorders>
              <w:bottom w:val="single" w:sz="2" w:space="0" w:color="000000"/>
            </w:tcBorders>
            <w:tcMar>
              <w:bottom w:w="42" w:type="dxa"/>
            </w:tcMar>
            <w:vAlign w:val="center"/>
          </w:tcPr>
          <w:p>
            <w:pPr>
              <w:pStyle w:val="TableContents"/>
              <w:bidi w:val="0"/>
              <w:spacing w:before="0" w:after="0"/>
              <w:jc w:val="center"/>
              <w:rPr/>
            </w:pPr>
            <w:r>
              <w:rPr>
                <w:spacing w:val="-2"/>
              </w:rPr>
              <w:t>Key</w:t>
            </w:r>
            <w:r>
              <w:rPr/>
              <w:t xml:space="preserve"> </w:t>
              <w:br/>
            </w:r>
            <w:r>
              <w:rPr>
                <w:spacing w:val="-2"/>
              </w:rPr>
              <w:t>unobservable</w:t>
            </w:r>
            <w:r>
              <w:rPr/>
              <w:t xml:space="preserve"> </w:t>
              <w:br/>
            </w:r>
            <w:r>
              <w:rPr>
                <w:spacing w:val="-2"/>
              </w:rPr>
              <w:t xml:space="preserve">inputs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5" w:type="dxa"/>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Range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079" w:type="dxa"/>
            <w:tcBorders/>
            <w:shd w:fill="CCEEFF" w:val="clear"/>
            <w:tcMar>
              <w:bottom w:w="0" w:type="dxa"/>
            </w:tcMar>
            <w:vAlign w:val="center"/>
          </w:tcPr>
          <w:p>
            <w:pPr>
              <w:pStyle w:val="TableContents"/>
              <w:bidi w:val="0"/>
              <w:spacing w:lineRule="atLeast" w:line="192" w:before="0" w:after="0"/>
              <w:jc w:val="left"/>
              <w:rPr>
                <w:spacing w:val="-2"/>
              </w:rPr>
            </w:pPr>
            <w:r>
              <w:rPr>
                <w:spacing w:val="-2"/>
              </w:rPr>
              <w:t xml:space="preserve">B+L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bottom w:val="double" w:sz="8" w:space="0" w:color="000000"/>
            </w:tcBorders>
            <w:shd w:fill="CCEEFF" w:val="clear"/>
            <w:tcMar>
              <w:bottom w:w="46" w:type="dxa"/>
            </w:tcMar>
            <w:vAlign w:val="center"/>
          </w:tcPr>
          <w:p>
            <w:pPr>
              <w:pStyle w:val="TableContents"/>
              <w:bidi w:val="0"/>
              <w:spacing w:before="0" w:after="283"/>
              <w:jc w:val="right"/>
              <w:rPr/>
            </w:pPr>
            <w:r>
              <w:rPr/>
              <w:t>$</w:t>
            </w:r>
          </w:p>
        </w:tc>
        <w:tc>
          <w:tcPr>
            <w:tcW w:w="847" w:type="dxa"/>
            <w:tcBorders>
              <w:bottom w:val="double" w:sz="8" w:space="0" w:color="000000"/>
            </w:tcBorders>
            <w:shd w:fill="CCEEFF" w:val="clear"/>
            <w:tcMar>
              <w:bottom w:w="46" w:type="dxa"/>
            </w:tcMar>
            <w:vAlign w:val="center"/>
          </w:tcPr>
          <w:p>
            <w:pPr>
              <w:pStyle w:val="TableContents"/>
              <w:bidi w:val="0"/>
              <w:spacing w:before="0" w:after="283"/>
              <w:jc w:val="right"/>
              <w:rPr/>
            </w:pPr>
            <w:r>
              <w:rPr/>
              <w:t>10,000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50" w:type="dxa"/>
            <w:tcBorders>
              <w:bottom w:val="double" w:sz="8" w:space="0" w:color="000000"/>
            </w:tcBorders>
            <w:shd w:fill="CCEEFF" w:val="clear"/>
            <w:tcMar>
              <w:bottom w:w="46" w:type="dxa"/>
            </w:tcMar>
            <w:vAlign w:val="center"/>
          </w:tcPr>
          <w:p>
            <w:pPr>
              <w:pStyle w:val="TableContents"/>
              <w:bidi w:val="0"/>
              <w:spacing w:before="0" w:after="283"/>
              <w:jc w:val="right"/>
              <w:rPr/>
            </w:pPr>
            <w:r>
              <w:rPr/>
              <w:t>$</w:t>
            </w:r>
          </w:p>
        </w:tc>
        <w:tc>
          <w:tcPr>
            <w:tcW w:w="847" w:type="dxa"/>
            <w:tcBorders>
              <w:bottom w:val="double" w:sz="8" w:space="0" w:color="000000"/>
            </w:tcBorders>
            <w:shd w:fill="CCEEFF" w:val="clear"/>
            <w:tcMar>
              <w:bottom w:w="46" w:type="dxa"/>
            </w:tcMar>
            <w:vAlign w:val="center"/>
          </w:tcPr>
          <w:p>
            <w:pPr>
              <w:pStyle w:val="TableContents"/>
              <w:bidi w:val="0"/>
              <w:spacing w:before="0" w:after="283"/>
              <w:jc w:val="right"/>
              <w:rPr/>
            </w:pPr>
            <w:r>
              <w:rPr/>
              <w:t>10,805</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1" w:type="dxa"/>
            <w:tcBorders>
              <w:bottom w:val="double" w:sz="8" w:space="0" w:color="000000"/>
            </w:tcBorders>
            <w:shd w:fill="CCEEFF" w:val="clear"/>
            <w:tcMar>
              <w:bottom w:w="46" w:type="dxa"/>
            </w:tcMar>
            <w:vAlign w:val="center"/>
          </w:tcPr>
          <w:p>
            <w:pPr>
              <w:pStyle w:val="TableContents"/>
              <w:bidi w:val="0"/>
              <w:spacing w:before="0" w:after="0"/>
              <w:ind w:left="160" w:right="0" w:hanging="160"/>
              <w:jc w:val="center"/>
              <w:rPr/>
            </w:pPr>
            <w:r>
              <w:rPr>
                <w:spacing w:val="-2"/>
              </w:rPr>
              <w:t xml:space="preserve">Equity </w:t>
            </w:r>
            <w:r>
              <w:rPr/>
              <w:br/>
            </w:r>
            <w:r>
              <w:rPr>
                <w:spacing w:val="-2"/>
              </w:rPr>
              <w:t>financing (95%)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3" w:type="dxa"/>
            <w:tcBorders>
              <w:bottom w:val="double" w:sz="8" w:space="0" w:color="000000"/>
            </w:tcBorders>
            <w:shd w:fill="CCEEFF" w:val="clear"/>
            <w:tcMar>
              <w:bottom w:w="46" w:type="dxa"/>
            </w:tcMar>
            <w:vAlign w:val="center"/>
          </w:tcPr>
          <w:p>
            <w:pPr>
              <w:pStyle w:val="TableContents"/>
              <w:bidi w:val="0"/>
              <w:spacing w:before="0" w:after="0"/>
              <w:jc w:val="center"/>
              <w:rPr>
                <w:spacing w:val="-2"/>
              </w:rPr>
            </w:pPr>
            <w:r>
              <w:rPr>
                <w:spacing w:val="-2"/>
              </w:rPr>
              <w:t xml:space="preserve">Estimated </w:t>
            </w:r>
          </w:p>
          <w:p>
            <w:pPr>
              <w:pStyle w:val="TableContents"/>
              <w:bidi w:val="0"/>
              <w:spacing w:before="0" w:after="283"/>
              <w:ind w:left="160" w:right="0" w:hanging="0"/>
              <w:jc w:val="center"/>
              <w:rPr/>
            </w:pPr>
            <w:r>
              <w:rPr>
                <w:spacing w:val="-2"/>
              </w:rPr>
              <w:t xml:space="preserve">time to </w:t>
            </w:r>
            <w:r>
              <w:rPr/>
              <w:br/>
            </w:r>
            <w:r>
              <w:rPr>
                <w:spacing w:val="-2"/>
              </w:rPr>
              <w:t>settlement</w:t>
            </w:r>
            <w:r>
              <w:rPr/>
              <w:t xml:space="preserve"> </w:t>
            </w:r>
          </w:p>
          <w:p>
            <w:pPr>
              <w:pStyle w:val="TableContents"/>
              <w:bidi w:val="0"/>
              <w:spacing w:before="92" w:after="283"/>
              <w:jc w:val="center"/>
              <w:rPr>
                <w:spacing w:val="-2"/>
              </w:rPr>
            </w:pPr>
            <w:r>
              <w:rPr>
                <w:spacing w:val="-2"/>
              </w:rPr>
              <w:t xml:space="preserve">Discount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5" w:type="dxa"/>
            <w:tcBorders>
              <w:bottom w:val="double" w:sz="8" w:space="0" w:color="000000"/>
            </w:tcBorders>
            <w:shd w:fill="CCEEFF" w:val="clear"/>
            <w:tcMar>
              <w:bottom w:w="46" w:type="dxa"/>
            </w:tcMar>
            <w:vAlign w:val="center"/>
          </w:tcPr>
          <w:p>
            <w:pPr>
              <w:pStyle w:val="TableContents"/>
              <w:bidi w:val="0"/>
              <w:spacing w:before="0" w:after="0"/>
              <w:jc w:val="center"/>
              <w:rPr/>
            </w:pPr>
            <w:r>
              <w:rPr>
                <w:spacing w:val="-2"/>
              </w:rPr>
              <w:t>0.42 years</w:t>
            </w:r>
            <w:r>
              <w:rPr/>
              <w:t xml:space="preserve"> </w:t>
            </w:r>
          </w:p>
          <w:p>
            <w:pPr>
              <w:pStyle w:val="TableContents"/>
              <w:bidi w:val="0"/>
              <w:spacing w:before="60" w:after="283"/>
              <w:jc w:val="center"/>
              <w:rPr>
                <w:spacing w:val="-2"/>
              </w:rPr>
            </w:pPr>
            <w:r>
              <w:rPr>
                <w:spacing w:val="-2"/>
              </w:rPr>
              <w:t xml:space="preserve">18.17% </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079" w:type="dxa"/>
            <w:tcBorders/>
            <w:tcMar>
              <w:bottom w:w="0" w:type="dxa"/>
            </w:tcMar>
            <w:vAlign w:val="center"/>
          </w:tcPr>
          <w:p>
            <w:pPr>
              <w:pStyle w:val="TableContents"/>
              <w:bidi w:val="0"/>
              <w:spacing w:lineRule="atLeast" w:line="192" w:before="0" w:after="0"/>
              <w:jc w:val="left"/>
              <w:rPr>
                <w:spacing w:val="-2"/>
              </w:rPr>
            </w:pPr>
            <w:r>
              <w:rPr>
                <w:spacing w:val="-2"/>
              </w:rPr>
              <w:t xml:space="preserve">Biogen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bottom w:val="double" w:sz="8" w:space="0" w:color="000000"/>
            </w:tcBorders>
            <w:tcMar>
              <w:bottom w:w="46" w:type="dxa"/>
            </w:tcMar>
            <w:vAlign w:val="center"/>
          </w:tcPr>
          <w:p>
            <w:pPr>
              <w:pStyle w:val="TableContents"/>
              <w:bidi w:val="0"/>
              <w:spacing w:before="0" w:after="283"/>
              <w:jc w:val="right"/>
              <w:rPr/>
            </w:pPr>
            <w:r>
              <w:rPr/>
              <w:t>$</w:t>
            </w:r>
          </w:p>
        </w:tc>
        <w:tc>
          <w:tcPr>
            <w:tcW w:w="847" w:type="dxa"/>
            <w:tcBorders>
              <w:bottom w:val="double" w:sz="8" w:space="0" w:color="000000"/>
            </w:tcBorders>
            <w:tcMar>
              <w:bottom w:w="46" w:type="dxa"/>
            </w:tcMar>
            <w:vAlign w:val="center"/>
          </w:tcPr>
          <w:p>
            <w:pPr>
              <w:pStyle w:val="TableContents"/>
              <w:bidi w:val="0"/>
              <w:spacing w:before="0" w:after="283"/>
              <w:jc w:val="right"/>
              <w:rPr/>
            </w:pPr>
            <w:r>
              <w:rPr/>
              <w:t>30,000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50" w:type="dxa"/>
            <w:tcBorders>
              <w:bottom w:val="double" w:sz="8" w:space="0" w:color="000000"/>
            </w:tcBorders>
            <w:tcMar>
              <w:bottom w:w="46" w:type="dxa"/>
            </w:tcMar>
            <w:vAlign w:val="center"/>
          </w:tcPr>
          <w:p>
            <w:pPr>
              <w:pStyle w:val="TableContents"/>
              <w:bidi w:val="0"/>
              <w:spacing w:before="0" w:after="283"/>
              <w:jc w:val="right"/>
              <w:rPr/>
            </w:pPr>
            <w:r>
              <w:rPr/>
              <w:t>$</w:t>
            </w:r>
          </w:p>
        </w:tc>
        <w:tc>
          <w:tcPr>
            <w:tcW w:w="847" w:type="dxa"/>
            <w:tcBorders>
              <w:bottom w:val="double" w:sz="8" w:space="0" w:color="000000"/>
            </w:tcBorders>
            <w:tcMar>
              <w:bottom w:w="46" w:type="dxa"/>
            </w:tcMar>
            <w:vAlign w:val="center"/>
          </w:tcPr>
          <w:p>
            <w:pPr>
              <w:pStyle w:val="TableContents"/>
              <w:bidi w:val="0"/>
              <w:spacing w:before="0" w:after="283"/>
              <w:jc w:val="right"/>
              <w:rPr/>
            </w:pPr>
            <w:r>
              <w:rPr/>
              <w:t>31,063</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1" w:type="dxa"/>
            <w:tcBorders>
              <w:bottom w:val="double" w:sz="8" w:space="0" w:color="000000"/>
            </w:tcBorders>
            <w:tcMar>
              <w:bottom w:w="46" w:type="dxa"/>
            </w:tcMar>
            <w:vAlign w:val="center"/>
          </w:tcPr>
          <w:p>
            <w:pPr>
              <w:pStyle w:val="TableContents"/>
              <w:bidi w:val="0"/>
              <w:spacing w:before="0" w:after="0"/>
              <w:ind w:left="160" w:right="0" w:hanging="160"/>
              <w:jc w:val="center"/>
              <w:rPr/>
            </w:pPr>
            <w:r>
              <w:rPr>
                <w:spacing w:val="-2"/>
              </w:rPr>
              <w:t xml:space="preserve">Equity </w:t>
            </w:r>
            <w:r>
              <w:rPr/>
              <w:br/>
            </w:r>
            <w:r>
              <w:rPr>
                <w:spacing w:val="-2"/>
              </w:rPr>
              <w:t>financing (95%)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3" w:type="dxa"/>
            <w:tcBorders>
              <w:bottom w:val="double" w:sz="8" w:space="0" w:color="000000"/>
            </w:tcBorders>
            <w:tcMar>
              <w:bottom w:w="46" w:type="dxa"/>
            </w:tcMar>
            <w:vAlign w:val="center"/>
          </w:tcPr>
          <w:p>
            <w:pPr>
              <w:pStyle w:val="TableContents"/>
              <w:bidi w:val="0"/>
              <w:spacing w:before="0" w:after="0"/>
              <w:jc w:val="center"/>
              <w:rPr>
                <w:spacing w:val="-2"/>
              </w:rPr>
            </w:pPr>
            <w:r>
              <w:rPr>
                <w:spacing w:val="-2"/>
              </w:rPr>
              <w:t xml:space="preserve">Estimated </w:t>
            </w:r>
          </w:p>
          <w:p>
            <w:pPr>
              <w:pStyle w:val="TableContents"/>
              <w:bidi w:val="0"/>
              <w:spacing w:lineRule="atLeast" w:line="192" w:before="0" w:after="283"/>
              <w:ind w:left="160" w:right="0" w:hanging="0"/>
              <w:jc w:val="center"/>
              <w:rPr/>
            </w:pPr>
            <w:r>
              <w:rPr>
                <w:spacing w:val="-2"/>
              </w:rPr>
              <w:t xml:space="preserve">time to </w:t>
            </w:r>
            <w:r>
              <w:rPr/>
              <w:br/>
            </w:r>
            <w:r>
              <w:rPr>
                <w:spacing w:val="-2"/>
              </w:rPr>
              <w:t>settlement</w:t>
            </w:r>
            <w:r>
              <w:rPr/>
              <w:t xml:space="preserve"> </w:t>
            </w:r>
          </w:p>
          <w:p>
            <w:pPr>
              <w:pStyle w:val="TableContents"/>
              <w:bidi w:val="0"/>
              <w:spacing w:before="92" w:after="283"/>
              <w:jc w:val="center"/>
              <w:rPr>
                <w:spacing w:val="-2"/>
              </w:rPr>
            </w:pPr>
            <w:r>
              <w:rPr>
                <w:spacing w:val="-2"/>
              </w:rPr>
              <w:t xml:space="preserve">Discount rate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5" w:type="dxa"/>
            <w:tcBorders>
              <w:bottom w:val="double" w:sz="8" w:space="0" w:color="000000"/>
            </w:tcBorders>
            <w:tcMar>
              <w:bottom w:w="46" w:type="dxa"/>
            </w:tcMar>
            <w:vAlign w:val="center"/>
          </w:tcPr>
          <w:p>
            <w:pPr>
              <w:pStyle w:val="TableContents"/>
              <w:bidi w:val="0"/>
              <w:spacing w:before="0" w:after="0"/>
              <w:jc w:val="center"/>
              <w:rPr/>
            </w:pPr>
            <w:r>
              <w:rPr>
                <w:spacing w:val="-2"/>
              </w:rPr>
              <w:t>1.25 years</w:t>
            </w:r>
            <w:r>
              <w:rPr/>
              <w:t xml:space="preserve"> </w:t>
            </w:r>
          </w:p>
          <w:p>
            <w:pPr>
              <w:pStyle w:val="TableContents"/>
              <w:bidi w:val="0"/>
              <w:spacing w:before="60" w:after="283"/>
              <w:jc w:val="center"/>
              <w:rPr/>
            </w:pPr>
            <w:r>
              <w:rPr>
                <w:spacing w:val="-2"/>
              </w:rPr>
              <w:t>14.39%</w:t>
            </w:r>
            <w:r>
              <w:rPr/>
              <w:t xml:space="preserve"> </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709"/>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6. Fair Value of Financial Instruments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provides a reconciliation of all liabilities measured at fair value using Level 3 significant unobservable inputs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6636"/>
        <w:gridCol w:w="109"/>
        <w:gridCol w:w="109"/>
        <w:gridCol w:w="158"/>
        <w:gridCol w:w="329"/>
        <w:gridCol w:w="1157"/>
        <w:gridCol w:w="158"/>
        <w:gridCol w:w="156"/>
      </w:tblGrid>
      <w:tr>
        <w:trPr/>
        <w:tc>
          <w:tcPr>
            <w:tcW w:w="66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2"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Convertible Notes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6636"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January 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636" w:type="dxa"/>
            <w:tcBorders/>
            <w:tcMar>
              <w:bottom w:w="0" w:type="dxa"/>
            </w:tcMar>
            <w:vAlign w:val="center"/>
          </w:tcPr>
          <w:p>
            <w:pPr>
              <w:pStyle w:val="TableContents"/>
              <w:bidi w:val="0"/>
              <w:spacing w:before="0" w:after="0"/>
              <w:jc w:val="left"/>
              <w:rPr>
                <w:spacing w:val="-2"/>
              </w:rPr>
            </w:pPr>
            <w:r>
              <w:rPr>
                <w:spacing w:val="-2"/>
              </w:rPr>
              <w:t xml:space="preserve">Issuance of convertible notes on January 5,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9"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2,500</w:t>
            </w:r>
          </w:p>
        </w:tc>
        <w:tc>
          <w:tcPr>
            <w:tcW w:w="158"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636" w:type="dxa"/>
            <w:tcBorders/>
            <w:shd w:fill="CCEEFF" w:val="clear"/>
            <w:tcMar>
              <w:bottom w:w="0" w:type="dxa"/>
            </w:tcMar>
            <w:vAlign w:val="center"/>
          </w:tcPr>
          <w:p>
            <w:pPr>
              <w:pStyle w:val="TableContents"/>
              <w:bidi w:val="0"/>
              <w:spacing w:before="0" w:after="0"/>
              <w:jc w:val="left"/>
              <w:rPr>
                <w:spacing w:val="-2"/>
              </w:rPr>
            </w:pPr>
            <w:r>
              <w:rPr>
                <w:spacing w:val="-2"/>
              </w:rPr>
              <w:t xml:space="preserve">Issuance of convertible notes on February 15,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2,500</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636" w:type="dxa"/>
            <w:tcBorders/>
            <w:tcMar>
              <w:bottom w:w="0" w:type="dxa"/>
            </w:tcMar>
            <w:vAlign w:val="center"/>
          </w:tcPr>
          <w:p>
            <w:pPr>
              <w:pStyle w:val="TableContents"/>
              <w:bidi w:val="0"/>
              <w:spacing w:before="0" w:after="0"/>
              <w:jc w:val="left"/>
              <w:rPr>
                <w:spacing w:val="-2"/>
              </w:rPr>
            </w:pPr>
            <w:r>
              <w:rPr>
                <w:spacing w:val="-2"/>
              </w:rPr>
              <w:t xml:space="preserve">Issuance of convertible note, net on July 8,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9"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9,973</w:t>
            </w:r>
          </w:p>
        </w:tc>
        <w:tc>
          <w:tcPr>
            <w:tcW w:w="158"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636" w:type="dxa"/>
            <w:tcBorders/>
            <w:shd w:fill="CCEEFF" w:val="clear"/>
            <w:tcMar>
              <w:bottom w:w="0" w:type="dxa"/>
            </w:tcMar>
            <w:vAlign w:val="center"/>
          </w:tcPr>
          <w:p>
            <w:pPr>
              <w:pStyle w:val="TableContents"/>
              <w:bidi w:val="0"/>
              <w:spacing w:before="0" w:after="0"/>
              <w:jc w:val="left"/>
              <w:rPr>
                <w:spacing w:val="-2"/>
              </w:rPr>
            </w:pPr>
            <w:r>
              <w:rPr>
                <w:spacing w:val="-2"/>
              </w:rPr>
              <w:t xml:space="preserve">Change in fair value of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866</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636"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2"/>
              </w:rPr>
              <w:t xml:space="preserve">Non-cash conversion of convertible notes to Series A convertible preferred </w:t>
            </w:r>
            <w:r>
              <w:rPr/>
              <w:br/>
            </w:r>
            <w:r>
              <w:rPr>
                <w:spacing w:val="-2"/>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329" w:type="dxa"/>
            <w:tcBorders>
              <w:bottom w:val="single" w:sz="2" w:space="0" w:color="000000"/>
            </w:tcBorders>
            <w:tcMar>
              <w:bottom w:w="37" w:type="dxa"/>
            </w:tcMar>
            <w:vAlign w:val="center"/>
          </w:tcPr>
          <w:p>
            <w:pPr>
              <w:pStyle w:val="TableContents"/>
              <w:bidi w:val="0"/>
              <w:spacing w:before="0" w:after="283"/>
              <w:jc w:val="right"/>
              <w:rPr/>
            </w:pPr>
            <w:r>
              <w:rPr/>
              <w:t>​</w:t>
            </w:r>
          </w:p>
        </w:tc>
        <w:tc>
          <w:tcPr>
            <w:tcW w:w="1157" w:type="dxa"/>
            <w:tcBorders>
              <w:bottom w:val="single" w:sz="2" w:space="0" w:color="000000"/>
            </w:tcBorders>
            <w:tcMar>
              <w:bottom w:w="37" w:type="dxa"/>
            </w:tcMar>
            <w:vAlign w:val="center"/>
          </w:tcPr>
          <w:p>
            <w:pPr>
              <w:pStyle w:val="TableContents"/>
              <w:bidi w:val="0"/>
              <w:spacing w:before="0" w:after="283"/>
              <w:jc w:val="right"/>
              <w:rPr/>
            </w:pPr>
            <w:r>
              <w:rPr/>
              <w:t>(5,563)</w:t>
            </w:r>
          </w:p>
        </w:tc>
        <w:tc>
          <w:tcPr>
            <w:tcW w:w="158"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6636"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Balance at December 31, 2024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3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57" w:type="dxa"/>
            <w:tcBorders>
              <w:bottom w:val="single" w:sz="2" w:space="0" w:color="000000"/>
            </w:tcBorders>
            <w:shd w:fill="CCEEFF" w:val="clear"/>
            <w:tcMar>
              <w:bottom w:w="50" w:type="dxa"/>
            </w:tcMar>
            <w:vAlign w:val="center"/>
          </w:tcPr>
          <w:p>
            <w:pPr>
              <w:pStyle w:val="TableContents"/>
              <w:bidi w:val="0"/>
              <w:spacing w:before="0" w:after="283"/>
              <w:jc w:val="right"/>
              <w:rPr/>
            </w:pPr>
            <w:r>
              <w:rPr/>
              <w:t>10,276</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636" w:type="dxa"/>
            <w:tcBorders/>
            <w:tcMar>
              <w:bottom w:w="0" w:type="dxa"/>
            </w:tcMar>
            <w:vAlign w:val="center"/>
          </w:tcPr>
          <w:p>
            <w:pPr>
              <w:pStyle w:val="TableContents"/>
              <w:bidi w:val="0"/>
              <w:spacing w:before="0" w:after="0"/>
              <w:jc w:val="left"/>
              <w:rPr>
                <w:spacing w:val="-2"/>
              </w:rPr>
            </w:pPr>
            <w:r>
              <w:rPr>
                <w:spacing w:val="-2"/>
              </w:rPr>
              <w:t xml:space="preserve">Issuance of convertible note, net on May 23,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9"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29,965</w:t>
            </w:r>
          </w:p>
        </w:tc>
        <w:tc>
          <w:tcPr>
            <w:tcW w:w="158"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636" w:type="dxa"/>
            <w:tcBorders/>
            <w:shd w:fill="CCEEFF" w:val="clear"/>
            <w:tcMar>
              <w:bottom w:w="0" w:type="dxa"/>
            </w:tcMar>
            <w:vAlign w:val="center"/>
          </w:tcPr>
          <w:p>
            <w:pPr>
              <w:pStyle w:val="TableContents"/>
              <w:bidi w:val="0"/>
              <w:spacing w:before="0" w:after="0"/>
              <w:jc w:val="left"/>
              <w:rPr>
                <w:spacing w:val="-2"/>
              </w:rPr>
            </w:pPr>
            <w:r>
              <w:rPr>
                <w:spacing w:val="-2"/>
              </w:rPr>
              <w:t xml:space="preserve">Amortization of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shd w:fill="CCEEFF" w:val="clear"/>
            <w:tcMar>
              <w:bottom w:w="0" w:type="dxa"/>
            </w:tcMar>
            <w:vAlign w:val="center"/>
          </w:tcPr>
          <w:p>
            <w:pPr>
              <w:pStyle w:val="TableContents"/>
              <w:bidi w:val="0"/>
              <w:spacing w:before="0" w:after="283"/>
              <w:jc w:val="right"/>
              <w:rPr/>
            </w:pPr>
            <w:r>
              <w:rPr/>
              <w:t>​</w:t>
            </w:r>
          </w:p>
        </w:tc>
        <w:tc>
          <w:tcPr>
            <w:tcW w:w="1157" w:type="dxa"/>
            <w:tcBorders/>
            <w:shd w:fill="CCEEFF" w:val="clear"/>
            <w:tcMar>
              <w:bottom w:w="0" w:type="dxa"/>
            </w:tcMar>
            <w:vAlign w:val="center"/>
          </w:tcPr>
          <w:p>
            <w:pPr>
              <w:pStyle w:val="TableContents"/>
              <w:bidi w:val="0"/>
              <w:spacing w:before="0" w:after="283"/>
              <w:jc w:val="right"/>
              <w:rPr/>
            </w:pPr>
            <w:r>
              <w:rPr/>
              <w:t>21</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636"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Change in fair value of convertible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329" w:type="dxa"/>
            <w:tcBorders>
              <w:bottom w:val="single" w:sz="2" w:space="0" w:color="000000"/>
            </w:tcBorders>
            <w:tcMar>
              <w:bottom w:w="50" w:type="dxa"/>
            </w:tcMar>
            <w:vAlign w:val="center"/>
          </w:tcPr>
          <w:p>
            <w:pPr>
              <w:pStyle w:val="TableContents"/>
              <w:bidi w:val="0"/>
              <w:spacing w:before="0" w:after="283"/>
              <w:jc w:val="right"/>
              <w:rPr/>
            </w:pPr>
            <w:r>
              <w:rPr/>
              <w:t>​</w:t>
            </w:r>
          </w:p>
        </w:tc>
        <w:tc>
          <w:tcPr>
            <w:tcW w:w="1157" w:type="dxa"/>
            <w:tcBorders>
              <w:bottom w:val="single" w:sz="2" w:space="0" w:color="000000"/>
            </w:tcBorders>
            <w:tcMar>
              <w:bottom w:w="50" w:type="dxa"/>
            </w:tcMar>
            <w:vAlign w:val="center"/>
          </w:tcPr>
          <w:p>
            <w:pPr>
              <w:pStyle w:val="TableContents"/>
              <w:bidi w:val="0"/>
              <w:spacing w:before="0" w:after="283"/>
              <w:jc w:val="right"/>
              <w:rPr/>
            </w:pPr>
            <w:r>
              <w:rPr/>
              <w:t>1,606</w:t>
            </w:r>
          </w:p>
        </w:tc>
        <w:tc>
          <w:tcPr>
            <w:tcW w:w="158"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6636"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57" w:type="dxa"/>
            <w:tcBorders>
              <w:bottom w:val="double" w:sz="8" w:space="0" w:color="000000"/>
            </w:tcBorders>
            <w:shd w:fill="CCEEFF" w:val="clear"/>
            <w:tcMar>
              <w:bottom w:w="50" w:type="dxa"/>
            </w:tcMar>
            <w:vAlign w:val="center"/>
          </w:tcPr>
          <w:p>
            <w:pPr>
              <w:pStyle w:val="TableContents"/>
              <w:bidi w:val="0"/>
              <w:spacing w:before="0" w:after="283"/>
              <w:jc w:val="right"/>
              <w:rPr/>
            </w:pPr>
            <w:r>
              <w:rPr/>
              <w:t>41,868</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8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years ended December 31, 2024 and 2025, there were no transfers between levels.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7. Leases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December 2023, the Company entered into a lease of office and laboratory space at 399 Binney Street in Cambridge, Massachusetts, which became the Company’s corporate headquarters. In June 2025, the Company entered into the First Amendment to Lease (the Amendment), which expanded the leased premises to include the entire second floor and a portion of the fourth floor, provided for the surrender of the original first floor and penthouse mechanical premises and extended the lease term through September 30, 2031. Following the Amendment, the Company’s leased premises consist of approximately 51,726 rentable square feet. The lease is recorded in the accompanying consolidated balance sheets as an operating lease right-of-use asset and operating lease liability as of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terms of the Amendment, the lease term for the retained and substitute premises expires on September 30, 2031. The lease includes a renewal option which extends the term of the lease for an additional 36 months, however, it has been determined that it is not reasonably certain that the Company will exercise this option. The monthly rent payments under the lease, which include base rent charges of approximately $0.5 million per month, are subject to yearly rent increases of 3% through the end of the lease term. Base rent is fully abated during the months of December 2025, December 2026, and December 2027. The Company is responsible for paying a pro-rata share of costs incurred for common area maintenance, real estate taxes, and property insurance related to the leased space, which are considered variable lease payments and expensed as incurred. The total rent payments to be paid over the noncancelable term of this lease are $39.6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7. Leases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elements of operating lease expense were as follows (in thousands):</w:t>
      </w:r>
      <w:r>
        <w:rPr>
          <w:rFonts w:ascii="Helvetica;Arial;sans-serif" w:hAnsi="Helvetica;Arial;sans-serif"/>
          <w:b w:val="false"/>
          <w:i w:val="false"/>
          <w:caps w:val="false"/>
          <w:smallCaps w:val="false"/>
          <w:color w:val="000000"/>
          <w:spacing w:val="4"/>
          <w:sz w:val="20"/>
        </w:rPr>
        <w:t xml:space="preserve"> </w:t>
      </w:r>
    </w:p>
    <w:tbl>
      <w:tblPr>
        <w:tblW w:w="4826" w:type="dxa"/>
        <w:jc w:val="left"/>
        <w:tblInd w:w="1393" w:type="dxa"/>
        <w:tblLayout w:type="fixed"/>
        <w:tblCellMar>
          <w:top w:w="0" w:type="dxa"/>
          <w:left w:w="0" w:type="dxa"/>
          <w:bottom w:w="28" w:type="dxa"/>
          <w:right w:w="0" w:type="dxa"/>
        </w:tblCellMar>
      </w:tblPr>
      <w:tblGrid>
        <w:gridCol w:w="2056"/>
        <w:gridCol w:w="109"/>
        <w:gridCol w:w="109"/>
        <w:gridCol w:w="109"/>
        <w:gridCol w:w="226"/>
        <w:gridCol w:w="646"/>
        <w:gridCol w:w="109"/>
        <w:gridCol w:w="109"/>
        <w:gridCol w:w="109"/>
        <w:gridCol w:w="109"/>
        <w:gridCol w:w="226"/>
        <w:gridCol w:w="646"/>
        <w:gridCol w:w="109"/>
        <w:gridCol w:w="154"/>
      </w:tblGrid>
      <w:tr>
        <w:trPr/>
        <w:tc>
          <w:tcPr>
            <w:tcW w:w="20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56" w:type="dxa"/>
            <w:tcBorders/>
            <w:shd w:fill="CCEEFF" w:val="clear"/>
            <w:tcMar>
              <w:bottom w:w="0" w:type="dxa"/>
            </w:tcMar>
            <w:vAlign w:val="center"/>
          </w:tcPr>
          <w:p>
            <w:pPr>
              <w:pStyle w:val="TableContents"/>
              <w:bidi w:val="0"/>
              <w:spacing w:before="0" w:after="283"/>
              <w:jc w:val="left"/>
              <w:rPr>
                <w:spacing w:val="-2"/>
              </w:rPr>
            </w:pPr>
            <w:r>
              <w:rPr>
                <w:spacing w:val="-2"/>
              </w:rPr>
              <w:t xml:space="preserve">Lease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56"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5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Variable lease cost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1,320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1,868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56" w:type="dxa"/>
            <w:tcBorders/>
            <w:tcMar>
              <w:bottom w:w="0" w:type="dxa"/>
            </w:tcMar>
            <w:vAlign w:val="center"/>
          </w:tcPr>
          <w:p>
            <w:pPr>
              <w:pStyle w:val="TableContents"/>
              <w:bidi w:val="0"/>
              <w:spacing w:before="0" w:after="0"/>
              <w:jc w:val="left"/>
              <w:rPr>
                <w:spacing w:val="-2"/>
              </w:rPr>
            </w:pPr>
            <w:r>
              <w:rPr>
                <w:spacing w:val="-2"/>
              </w:rPr>
              <w:t xml:space="preserve">Total lease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4,676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6,419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Future lease payments under noncancelable leases that have commenced as of December 31, 2025 (in thousands):</w:t>
      </w:r>
      <w:r>
        <w:rPr>
          <w:rFonts w:ascii="Helvetica;Arial;sans-serif" w:hAnsi="Helvetica;Arial;sans-serif"/>
          <w:b w:val="false"/>
          <w:i w:val="false"/>
          <w:caps w:val="false"/>
          <w:smallCaps w:val="false"/>
          <w:color w:val="000000"/>
          <w:spacing w:val="4"/>
          <w:sz w:val="20"/>
        </w:rPr>
        <w:t xml:space="preserve"> </w:t>
      </w:r>
    </w:p>
    <w:tbl>
      <w:tblPr>
        <w:tblW w:w="6860" w:type="dxa"/>
        <w:jc w:val="left"/>
        <w:tblInd w:w="1393" w:type="dxa"/>
        <w:tblLayout w:type="fixed"/>
        <w:tblCellMar>
          <w:top w:w="0" w:type="dxa"/>
          <w:left w:w="0" w:type="dxa"/>
          <w:bottom w:w="50" w:type="dxa"/>
          <w:right w:w="0" w:type="dxa"/>
        </w:tblCellMar>
      </w:tblPr>
      <w:tblGrid>
        <w:gridCol w:w="5128"/>
        <w:gridCol w:w="109"/>
        <w:gridCol w:w="109"/>
        <w:gridCol w:w="109"/>
        <w:gridCol w:w="226"/>
        <w:gridCol w:w="916"/>
        <w:gridCol w:w="109"/>
        <w:gridCol w:w="154"/>
      </w:tblGrid>
      <w:tr>
        <w:trPr/>
        <w:tc>
          <w:tcPr>
            <w:tcW w:w="5128" w:type="dxa"/>
            <w:tcBorders>
              <w:bottom w:val="single" w:sz="2" w:space="0" w:color="000000"/>
            </w:tcBorders>
            <w:vAlign w:val="center"/>
          </w:tcPr>
          <w:p>
            <w:pPr>
              <w:pStyle w:val="TableContents"/>
              <w:bidi w:val="0"/>
              <w:spacing w:before="0" w:after="0"/>
              <w:jc w:val="left"/>
              <w:rPr>
                <w:spacing w:val="-2"/>
              </w:rPr>
            </w:pPr>
            <w:r>
              <w:rPr>
                <w:spacing w:val="-2"/>
              </w:rPr>
              <w:t xml:space="preserve">Years ended December 31,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FFFFFF"/>
            </w:tcBorders>
            <w:tcMar>
              <w:bottom w:w="28" w:type="dxa"/>
            </w:tcMar>
            <w:vAlign w:val="center"/>
          </w:tcPr>
          <w:p>
            <w:pPr>
              <w:pStyle w:val="TableContents"/>
              <w:bidi w:val="0"/>
              <w:spacing w:before="0" w:after="283"/>
              <w:jc w:val="center"/>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jc w:val="left"/>
              <w:rPr>
                <w:spacing w:val="-2"/>
              </w:rPr>
            </w:pPr>
            <w:r>
              <w:rPr>
                <w:spacing w:val="-2"/>
              </w:rPr>
              <w:t xml:space="preserve">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tcMar>
              <w:bottom w:w="0" w:type="dxa"/>
            </w:tcMar>
            <w:vAlign w:val="center"/>
          </w:tcPr>
          <w:p>
            <w:pPr>
              <w:pStyle w:val="TableContents"/>
              <w:bidi w:val="0"/>
              <w:spacing w:before="0" w:after="0"/>
              <w:jc w:val="left"/>
              <w:rPr>
                <w:spacing w:val="-2"/>
              </w:rPr>
            </w:pPr>
            <w:r>
              <w:rPr>
                <w:spacing w:val="-2"/>
              </w:rPr>
              <w:t xml:space="preserve">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5,803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jc w:val="left"/>
              <w:rPr>
                <w:spacing w:val="-2"/>
              </w:rPr>
            </w:pPr>
            <w:r>
              <w:rPr>
                <w:spacing w:val="-2"/>
              </w:rPr>
              <w:t xml:space="preserve">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tcMar>
              <w:bottom w:w="0" w:type="dxa"/>
            </w:tcMar>
            <w:vAlign w:val="center"/>
          </w:tcPr>
          <w:p>
            <w:pPr>
              <w:pStyle w:val="TableContents"/>
              <w:bidi w:val="0"/>
              <w:spacing w:before="0" w:after="0"/>
              <w:jc w:val="left"/>
              <w:rPr>
                <w:spacing w:val="-2"/>
              </w:rPr>
            </w:pPr>
            <w:r>
              <w:rPr>
                <w:spacing w:val="-2"/>
              </w:rPr>
              <w:t xml:space="preserve">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6,716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jc w:val="left"/>
              <w:rPr>
                <w:spacing w:val="-2"/>
              </w:rPr>
            </w:pPr>
            <w:r>
              <w:rPr>
                <w:spacing w:val="-2"/>
              </w:rPr>
              <w:t xml:space="preserve">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6,918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bottom w:val="single" w:sz="2" w:space="0" w:color="FFFFFF"/>
            </w:tcBorders>
            <w:vAlign w:val="center"/>
          </w:tcPr>
          <w:p>
            <w:pPr>
              <w:pStyle w:val="TableContents"/>
              <w:bidi w:val="0"/>
              <w:spacing w:before="0" w:after="0"/>
              <w:jc w:val="left"/>
              <w:rPr>
                <w:spacing w:val="-2"/>
              </w:rPr>
            </w:pPr>
            <w:r>
              <w:rPr>
                <w:spacing w:val="-2"/>
              </w:rPr>
              <w:t xml:space="preserve">2031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5,344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lease 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36,423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bottom w:val="single" w:sz="2" w:space="0" w:color="FFFFFF"/>
            </w:tcBorders>
            <w:vAlign w:val="center"/>
          </w:tcPr>
          <w:p>
            <w:pPr>
              <w:pStyle w:val="TableContents"/>
              <w:bidi w:val="0"/>
              <w:spacing w:before="0" w:after="0"/>
              <w:jc w:val="left"/>
              <w:rPr>
                <w:spacing w:val="-2"/>
              </w:rPr>
            </w:pPr>
            <w:r>
              <w:rPr>
                <w:spacing w:val="-2"/>
              </w:rPr>
              <w:t xml:space="preserve">Less: imputed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(11,007)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28" w:type="dxa"/>
            <w:tcBorders/>
            <w:shd w:fill="CCEEFF" w:val="clear"/>
            <w:tcMar>
              <w:bottom w:w="0" w:type="dxa"/>
            </w:tcMar>
            <w:vAlign w:val="center"/>
          </w:tcPr>
          <w:p>
            <w:pPr>
              <w:pStyle w:val="TableContents"/>
              <w:bidi w:val="0"/>
              <w:spacing w:before="0" w:after="0"/>
              <w:jc w:val="left"/>
              <w:rPr>
                <w:spacing w:val="-2"/>
              </w:rPr>
            </w:pPr>
            <w:r>
              <w:rPr>
                <w:spacing w:val="-2"/>
              </w:rPr>
              <w:t xml:space="preserve">Total operating lease liabilities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16" w:type="dxa"/>
            <w:tcBorders>
              <w:bottom w:val="double" w:sz="8" w:space="0" w:color="000000"/>
            </w:tcBorders>
            <w:shd w:fill="CCEEFF" w:val="clear"/>
            <w:vAlign w:val="center"/>
          </w:tcPr>
          <w:p>
            <w:pPr>
              <w:pStyle w:val="TableContents"/>
              <w:bidi w:val="0"/>
              <w:spacing w:before="0" w:after="283"/>
              <w:jc w:val="right"/>
              <w:rPr/>
            </w:pPr>
            <w:r>
              <w:rPr/>
              <w:t>25,416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28" w:type="dxa"/>
            <w:tcBorders/>
            <w:tcMar>
              <w:bottom w:w="0" w:type="dxa"/>
            </w:tcMar>
            <w:vAlign w:val="center"/>
          </w:tcPr>
          <w:p>
            <w:pPr>
              <w:pStyle w:val="TableContents"/>
              <w:bidi w:val="0"/>
              <w:spacing w:before="0" w:after="0"/>
              <w:jc w:val="left"/>
              <w:rPr>
                <w:spacing w:val="-2"/>
              </w:rPr>
            </w:pPr>
            <w:r>
              <w:rPr>
                <w:spacing w:val="-2"/>
              </w:rPr>
              <w:t xml:space="preserve">Current operating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5,075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28"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Non-current operating lease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20,341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128"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16" w:type="dxa"/>
            <w:tcBorders>
              <w:bottom w:val="double" w:sz="8" w:space="0" w:color="000000"/>
            </w:tcBorders>
            <w:vAlign w:val="center"/>
          </w:tcPr>
          <w:p>
            <w:pPr>
              <w:pStyle w:val="TableContents"/>
              <w:bidi w:val="0"/>
              <w:spacing w:before="0" w:after="283"/>
              <w:jc w:val="right"/>
              <w:rPr/>
            </w:pPr>
            <w:r>
              <w:rPr/>
              <w:t>25,416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2024 and 2025, the Company’s operating leases had a weighted-average incremental borrowing rate of 14.0% and a weighted-average remaining lease term of 4.2 years and 5.7 years, respectively.</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8. Commitments and Contingencies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Litigation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Liabilities for loss contingencies arising from claims, assessments, litigation, fines, penalties, and other sources are recorded when it is probable that a liability has been incurred and the amount can be reasonably estimated. From time to time, the Company may become involved in legal proceedings arising in the ordinary course of business. For the years ended December 31, 2024 and 2025, the Company had no matters for which a loss was considered probable or reasonably possible that would require accrual or disclosure under ASC 450, </w:t>
      </w:r>
      <w:r>
        <w:rPr>
          <w:rFonts w:ascii="Helvetica;Arial;sans-serif" w:hAnsi="Helvetica;Arial;sans-serif"/>
          <w:b w:val="false"/>
          <w:i/>
          <w:caps w:val="false"/>
          <w:smallCaps w:val="false"/>
          <w:color w:val="000000"/>
          <w:spacing w:val="-2"/>
          <w:sz w:val="20"/>
        </w:rPr>
        <w:t>Contingencies</w:t>
      </w:r>
      <w:r>
        <w:rPr>
          <w:rFonts w:ascii="Helvetica;Arial;sans-serif" w:hAnsi="Helvetica;Arial;sans-serif"/>
          <w:b w:val="false"/>
          <w:i w:val="false"/>
          <w:caps w:val="false"/>
          <w:smallCaps w:val="false"/>
          <w:color w:val="000000"/>
          <w:spacing w:val="-2"/>
          <w:sz w:val="20"/>
        </w:rPr>
        <w:t>.</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Indemnification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or intends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8. Commitments and Contingencies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enter into, indemnification agreements with all members of the board of directors (Board) that will require the Company, among other things, to indemnify them against certain liabilities that may arise by reason of their status or service as directors.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maximum potential amount of future payments the Company could be required to make under these indemnification agreements is not determinable.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consolidated financial statements as of December 31, 2024 and 2025.</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Ohio State Innovation Foundation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October 30, 2023, the Company entered into an exclusive license agreement (as amended, the OSIF License Agreement) with OSIF, pursuant to which the Company has been granted an exclusive, royalty-bearing license to certain patent rights to make, have made, use, sell, and import licensed products. As consideration, the Company issued 567,060 shares of common stock, which constituted 5% of the fully diluted capitalization of the Company as of the effective date of the agreement, valued at $0.1 million. On April 17, 2024, upon the closing of the Series A convertible preferred stock financing (Note 10), the Company issued an additional 29,522 shares, valued at $0.1 million, of common stock in accordance with certain anti-dilution provisions of the OSIF License Agreement, which allowed for OSIF to maintain its applicable pro rata ownership percentage until the Company had raised a specified amount of proceeds. The Company did not incur any material costs in connection with the issuance of the shares. The OSIF License Agreement has subsequently been amended to add additional patent rights and technology disclosures to the licensed intellectual property, and the Company reimbursed OSIF for patent prosecution costs associated with such additional patent rights.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OSIF License Agreement, the Company is required to pay OSIF a total of up to $4.2 million upon achievement of certain clinical development, regulatory approval, and commercial sales milestones for each licensed product. The Company is also required to pay royalties to OSIF in the low-single digit percentage range based on net sales of any licensed products and processes, along with a specified minimum annual royalty amount for each licensed product, subject to customary reductions and offsets. In addition, the Company is responsible for certain patent costs incurred after the effective date and annual maintenance fees. The OSIF License Agreement also requires the Company to pay OSIF tiered low-double digit percentages of certain non-royalty sublicense consideration, with the applicable percentage depending on the stage of development at which the sublicense is granted. In connection with the Biogen Research Collaboration and License Agreement (Note 9), during the year ended December 31, 2025, the Company paid OSIF $0.3 million in sublicensing fees related to the upfront payment received under the agreement with Biogen. No milestone payments or net sales-based royalties had become due to OSIF through December 31, 2025. No repurchase rights of common stock issued to OSIF existed as of December 31, 2024 or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Accounting Considerations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 determined that the OSIF License Agreement represented an asset acquisition of IPR&amp;D assets with no alternative future use and recognized the aggregate acquisition cost as acquired in-process research and development expense in the consolidated statement of operations and comprehensive loss. The acquisition did not qualify as a business combination as the acquisition did not include both an input and substantive processes, including an assembled workforce, that together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contribute to the ability to create outputs. No acquired in-process research and development expense was recognized in connection with the OSIF License Agreement during the years ended December 31, 2024 or 2025.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Bausch + Lomb Research Collaboration and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July 8, 2024, the Company entered into a research collaboration and license agreement (B+L Research Collaboration and License Agreement) with Bausch + Lomb, pursuant to which (i) the Company shall undertake a research program to discover certain licensed molecules which would enable Bausch + Lomb to develop, and subsequently commercialize, one or more licensed products in ocular disease and (ii) the Company granted Bausch + Lomb an option to obtain an exclusive, worldwide license to certain Company intellectual property to develop, manufacture and commercialize licensed molecules and licensed products in ocular diseases. Simultaneously with the Company’s entry into the B+L Research Collaboration and License Agreement, the Company issued the B+L Note to Bausch + Lomb and Bausch + Lomb transferred to the Company $10.0 million in consideration (Note 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B+L Research Collaboration and License Agreement, the Company will perform research and deliver to Bausch + Lomb a development candidate for which Bausch + Lomb may exercise their option to license. If Bausch + Lomb exercises its option, it will engage in the development, manufacturing and commercialization of licensed molecules and licensed products from the development candidate. Under the B+L Research Collaboration and License Agreement, the Company received a non-refundable upfront payment of $5.0 million from Bausch + Lomb. Over the course of the research plan, Bausch + Lomb is required to reimburse the Company for amounts incurred for full-time employees and other related costs and materials directly associated with the research plan. Additionally, the Company is eligible to receive a certain development candidate selection fee and certain other development, regulatory, commercial and sales milestones, collectively up to an aggregate of $485.0 million, along with tiered royalties ranging in the mid-single digits to low-double digits on net sales. If the agreement terminates and the Company later successfully commercializes a product candidate using the licensed intellectual property, the Company will owe a low-single digit royalty payment to Bausch + Lomb on future net sales for a fixed royalty term. As of December 31, 2025, no such milestone payments or royalties had become due to the Company.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Accounting Considerations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assessed the B+L Research Collaboration and License Agreement and concluded that Bausch + Lomb is a customer in accordance with ASC 606. The Company identified the following promises under the contract: (i) obligation to perform research services, (ii) joint research committee participation, (iii) an option for Bausch + Lomb to obtain a license to develop, manufacture and commercialize licensed molecules and licensed products, and (iv) an option for Bausch + Lomb to request technology and Chemistry, Manufacturing, and Controls transfer services. The Company assessed the promised goods and services to determine if they are distinct performance obligations. The Company determined that the options for additional goods and services are not priced below their respective standalone selling prices, and therefore, are not material rights or performance obligations. The Company also determined that the obligation to perform research services and joint research committee participation are highly interrelated and interdependent and therefore not distinct. Accordingly, the obligation to perform research services and joint research committee participation represent one combined performance obligation, and the entire transaction price will be allocated to that single combined performance obligation.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At contract inception, the transaction price was determined to be $13.3 million, which represents the aggregate of the fixed consideration related to the upfront non-refundable payment for the B+L Research Collaboration and License Agreement and the estimated variable consideration related to cost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reimbursements for the research plan. As of December 31, 2025, the Company updated its estimate of variable consideration, resulting in an increase in the total transaction price to approximately $15.0 million. The Company recognizes the transaction price as the single performance obligation is satisfied, using an input method which is based on the actual costs incurred relative to total costs expected to be incurred. The transfer of control occurs over this period and, in management’s judgment, is the best measure of progress towards satisfying the performance obligation. Costs to perform the Company’s obligations under the B+L Research Collaboration and License Agreement are recognized as research and development expenses in the period incurred.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Biogen Research Collaboration and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May 23, 2025, the Company entered into a research collaboration and license agreement (Biogen Research Collaboration and License Agreement) with Biogen, pursuant to which (i) the Company and Biogen shall collaborate to undertake a research plan to discover certain RNAi triggers that inhibit the expression of a target protein and conjugates of such RNAi triggers and (ii) the Company granted Biogen an exclusive, worldwide, royalty-bearing license to certain Company intellectual property to develop, manufacture and commercialize a certain licensed products in the field in the territory. Simultaneously with the Company’s entry into the Biogen Research Collaboration and License Agreement, the Company issued the Biogen Note to Biogen and Biogen transferred to the Company $30.0 million in consideration (Note 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Biogen Research Collaboration and License Agreement, the Company will perform research activities and deliver to Biogen data packages and technology transfers to enable Biogen to select and advance a development candidate, for which Biogen may exercise its rights under the license. If Biogen selects a development candidate, it will control the development, manufacturing and commercialization of licensed compounds and licensed products. Each party is responsible for its own research costs under the agreement. Biogen has the option of selecting one additional target during the option exercise period, subject to execution of a separate agreement and payment of a specified option exercise fee. Under the Biogen Research Collaboration and License Agreement, the Company received a $16.0 million upfront payment from Biogen. The Company is also eligible to receive an additional upfront payment contingent upon the satisfaction of certain conditions relating to the Company’s upstream third-party intellectual property agreement. Additionally, the Company is eligible to receive up to an aggregate of approximately $1.0 billion in potential development, commercial, and sales milestones, along with tiered royalties ranging from the high-single digits to low-double digits on net sales. As of December 31, 2025, no such milestones or royalties had become due to the Company.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Accounting Considerations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assessed the Biogen Research Collaboration and License Agreement and concluded that Biogen is a customer in accordance with ASC 606. The Company identified the following promises under the contract: (i) an exclusive license to develop, manufacture and commercialize licensed compounds and licensed products, (ii) an obligation to perform research activities under the research plan, (iii) joint research committee participation, (iv) technology transfer and assistance, and (v) an option for Biogen to select one additional target. The Company assessed the promised goods and services to determine if they are distinct performance obligations. The Company determined that the option for an additional target is not priced below its standalone selling price, and therefore is not a material right or performance obligation. The Company also determined that the license, obligation to perform research activities, joint research committee participation, and technology transfer and assistance are highly interrelated and interdependent and therefore not distinct. Accordingly, these promises represent one combined performance obligation, and the transaction price will be allocated to that single combined performance obligation.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contract inception, the transaction price was determined to be $16.0 million, which represents the non-refundable upfront payment under the Biogen Research Collaboration and License Agreement. The $4.0 million additional upfront payment, research milestones, development milestones, sales milestones, and royalties are variable consideration that is fully constrained at inception and therefore excluded from the initial transaction price. During the year ended December 31, 2025, one research milestone of $2.5 million became probable and was included in the transaction price, increasing the total transaction price to $18.5 million as of December 31, 2025. The Company recognizes the transaction price as the single performance obligation is satisfied, using an input method which is based on the actual costs incurred relative to total costs expected to be incurred. The transfer of control occurs over this period and, in management’s judgment, is the best measure of progress towards satisfying the performance obligation. Costs to perform the Company’s obligations under the Biogen Research Collaboration and License Agreement are recognized as research and development expenses in the period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Amounts recognized under the B+L Research Collaboration and License Agreement and Biogen Research Collaboration and License Agreement were as follows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922"/>
        <w:gridCol w:w="109"/>
        <w:gridCol w:w="109"/>
        <w:gridCol w:w="109"/>
        <w:gridCol w:w="226"/>
        <w:gridCol w:w="646"/>
        <w:gridCol w:w="109"/>
        <w:gridCol w:w="109"/>
        <w:gridCol w:w="109"/>
        <w:gridCol w:w="109"/>
        <w:gridCol w:w="226"/>
        <w:gridCol w:w="766"/>
        <w:gridCol w:w="109"/>
        <w:gridCol w:w="154"/>
      </w:tblGrid>
      <w:tr>
        <w:trPr/>
        <w:tc>
          <w:tcPr>
            <w:tcW w:w="59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22"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Revenue recognized from B+L Research Collaboration and License Agreement (Ocular)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22"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2"/>
              </w:rPr>
              <w:t xml:space="preserve">Revenue recognized from Biogen Research Collaboration and License Agreement </w:t>
            </w:r>
            <w:r>
              <w:rPr/>
              <w:br/>
            </w:r>
            <w:r>
              <w:rPr>
                <w:spacing w:val="-2"/>
              </w:rPr>
              <w:t xml:space="preserve">(CNS)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766" w:type="dxa"/>
            <w:tcBorders>
              <w:bottom w:val="single" w:sz="2" w:space="0" w:color="000000"/>
            </w:tcBorders>
            <w:tcMar>
              <w:bottom w:w="37" w:type="dxa"/>
            </w:tcMar>
            <w:vAlign w:val="center"/>
          </w:tcPr>
          <w:p>
            <w:pPr>
              <w:pStyle w:val="TableContents"/>
              <w:bidi w:val="0"/>
              <w:spacing w:before="0" w:after="283"/>
              <w:jc w:val="right"/>
              <w:rPr/>
            </w:pPr>
            <w:r>
              <w:rPr/>
              <w:t>6,439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22"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13,562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22" w:type="dxa"/>
            <w:tcBorders/>
            <w:tcMar>
              <w:bottom w:w="0" w:type="dxa"/>
            </w:tcMar>
            <w:vAlign w:val="center"/>
          </w:tcPr>
          <w:p>
            <w:pPr>
              <w:pStyle w:val="TableContents"/>
              <w:bidi w:val="0"/>
              <w:spacing w:before="0" w:after="0"/>
              <w:jc w:val="left"/>
              <w:rPr>
                <w:spacing w:val="-2"/>
              </w:rPr>
            </w:pPr>
            <w:r>
              <w:rPr>
                <w:spacing w:val="-2"/>
              </w:rPr>
              <w:t xml:space="preserve">Amounts receivable under B+L Research Collaboration and License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22" w:type="dxa"/>
            <w:tcBorders/>
            <w:shd w:fill="CCEEFF" w:val="clear"/>
            <w:tcMar>
              <w:bottom w:w="0" w:type="dxa"/>
            </w:tcMar>
            <w:vAlign w:val="center"/>
          </w:tcPr>
          <w:p>
            <w:pPr>
              <w:pStyle w:val="TableContents"/>
              <w:bidi w:val="0"/>
              <w:spacing w:before="0" w:after="283"/>
              <w:jc w:val="left"/>
              <w:rPr>
                <w:spacing w:val="-2"/>
              </w:rPr>
            </w:pPr>
            <w:r>
              <w:rPr>
                <w:spacing w:val="-2"/>
              </w:rPr>
              <w:t xml:space="preserve">Deferred revenue,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22" w:type="dxa"/>
            <w:tcBorders/>
            <w:tcMar>
              <w:bottom w:w="0" w:type="dxa"/>
            </w:tcMar>
            <w:vAlign w:val="center"/>
          </w:tcPr>
          <w:p>
            <w:pPr>
              <w:pStyle w:val="TableContents"/>
              <w:bidi w:val="0"/>
              <w:spacing w:before="0" w:after="0"/>
              <w:ind w:left="200" w:right="0" w:hanging="0"/>
              <w:jc w:val="left"/>
              <w:rPr>
                <w:spacing w:val="-2"/>
              </w:rPr>
            </w:pPr>
            <w:r>
              <w:rPr>
                <w:spacing w:val="-2"/>
              </w:rPr>
              <w:t xml:space="preserve">Deferred revenue – Bausch + Lomb,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3,361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2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Deferred revenue – Biogen, current portion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9,562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922" w:type="dxa"/>
            <w:tcBorders/>
            <w:tcMar>
              <w:bottom w:w="0" w:type="dxa"/>
            </w:tcMar>
            <w:vAlign w:val="center"/>
          </w:tcPr>
          <w:p>
            <w:pPr>
              <w:pStyle w:val="TableContents"/>
              <w:bidi w:val="0"/>
              <w:spacing w:before="0" w:after="0"/>
              <w:jc w:val="left"/>
              <w:rPr>
                <w:spacing w:val="-2"/>
              </w:rPr>
            </w:pPr>
            <w:r>
              <w:rPr>
                <w:spacing w:val="-2"/>
              </w:rPr>
              <w:t xml:space="preserve">Total Deferred Revenue,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3,361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11,255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22" w:type="dxa"/>
            <w:tcBorders/>
            <w:shd w:fill="CCEEFF" w:val="clear"/>
            <w:tcMar>
              <w:bottom w:w="0" w:type="dxa"/>
            </w:tcMar>
            <w:vAlign w:val="center"/>
          </w:tcPr>
          <w:p>
            <w:pPr>
              <w:pStyle w:val="TableContents"/>
              <w:bidi w:val="0"/>
              <w:spacing w:before="0" w:after="283"/>
              <w:jc w:val="left"/>
              <w:rPr>
                <w:spacing w:val="-2"/>
              </w:rPr>
            </w:pPr>
            <w:r>
              <w:rPr>
                <w:spacing w:val="-2"/>
              </w:rPr>
              <w:t xml:space="preserve">Deferred revenue, non-current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922" w:type="dxa"/>
            <w:tcBorders/>
            <w:tcMar>
              <w:bottom w:w="0" w:type="dxa"/>
            </w:tcMar>
            <w:vAlign w:val="center"/>
          </w:tcPr>
          <w:p>
            <w:pPr>
              <w:pStyle w:val="TableContents"/>
              <w:bidi w:val="0"/>
              <w:spacing w:before="0" w:after="0"/>
              <w:ind w:left="200" w:right="0" w:hanging="0"/>
              <w:jc w:val="left"/>
              <w:rPr>
                <w:spacing w:val="-2"/>
              </w:rPr>
            </w:pPr>
            <w:r>
              <w:rPr>
                <w:spacing w:val="-2"/>
              </w:rPr>
              <w:t xml:space="preserve">Deferred revenue – Bausch + Lomb, noncurrent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92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Deferred revenue – Biogen, noncurrent portion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922" w:type="dxa"/>
            <w:tcBorders/>
            <w:tcMar>
              <w:bottom w:w="0" w:type="dxa"/>
            </w:tcMar>
            <w:vAlign w:val="center"/>
          </w:tcPr>
          <w:p>
            <w:pPr>
              <w:pStyle w:val="TableContents"/>
              <w:bidi w:val="0"/>
              <w:spacing w:before="0" w:after="0"/>
              <w:jc w:val="left"/>
              <w:rPr>
                <w:spacing w:val="-2"/>
              </w:rPr>
            </w:pPr>
            <w:r>
              <w:rPr>
                <w:spacing w:val="-2"/>
              </w:rPr>
              <w:t xml:space="preserve">Total Deferred Revenue, non-current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595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2"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accounts receivable recorded as of December 31, 2024 and 2025 related to the reimbursable research and development efforts by the Company which were invoiced as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changes in deferred revenue related to the upfront non-refundable payments received as part of the B+L Research Collaboration and License Agreement and Biogen Research Collaboration and License Agreement (in thousands):</w:t>
      </w:r>
      <w:r>
        <w:rPr>
          <w:rFonts w:ascii="Helvetica;Arial;sans-serif" w:hAnsi="Helvetica;Arial;sans-serif"/>
          <w:b w:val="false"/>
          <w:i w:val="false"/>
          <w:caps w:val="false"/>
          <w:smallCaps w:val="false"/>
          <w:color w:val="000000"/>
          <w:spacing w:val="4"/>
          <w:sz w:val="20"/>
        </w:rPr>
        <w:t xml:space="preserve"> </w:t>
      </w:r>
    </w:p>
    <w:tbl>
      <w:tblPr>
        <w:tblW w:w="4993" w:type="dxa"/>
        <w:jc w:val="left"/>
        <w:tblInd w:w="1393" w:type="dxa"/>
        <w:tblLayout w:type="fixed"/>
        <w:tblCellMar>
          <w:top w:w="0" w:type="dxa"/>
          <w:left w:w="0" w:type="dxa"/>
          <w:bottom w:w="28" w:type="dxa"/>
          <w:right w:w="0" w:type="dxa"/>
        </w:tblCellMar>
      </w:tblPr>
      <w:tblGrid>
        <w:gridCol w:w="1923"/>
        <w:gridCol w:w="109"/>
        <w:gridCol w:w="109"/>
        <w:gridCol w:w="109"/>
        <w:gridCol w:w="226"/>
        <w:gridCol w:w="796"/>
        <w:gridCol w:w="109"/>
        <w:gridCol w:w="109"/>
        <w:gridCol w:w="109"/>
        <w:gridCol w:w="109"/>
        <w:gridCol w:w="226"/>
        <w:gridCol w:w="796"/>
        <w:gridCol w:w="109"/>
        <w:gridCol w:w="154"/>
      </w:tblGrid>
      <w:tr>
        <w:trPr/>
        <w:tc>
          <w:tcPr>
            <w:tcW w:w="19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9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3" w:type="dxa"/>
            <w:tcBorders/>
            <w:shd w:fill="CCEEFF" w:val="clear"/>
            <w:tcMar>
              <w:bottom w:w="0" w:type="dxa"/>
            </w:tcMar>
            <w:vAlign w:val="center"/>
          </w:tcPr>
          <w:p>
            <w:pPr>
              <w:pStyle w:val="TableContents"/>
              <w:bidi w:val="0"/>
              <w:spacing w:before="0" w:after="0"/>
              <w:jc w:val="left"/>
              <w:rPr>
                <w:spacing w:val="-2"/>
              </w:rPr>
            </w:pPr>
            <w:r>
              <w:rPr>
                <w:spacing w:val="-2"/>
              </w:rPr>
              <w:t xml:space="preserve">Beginning balance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3" w:type="dxa"/>
            <w:tcBorders/>
            <w:tcMar>
              <w:bottom w:w="0" w:type="dxa"/>
            </w:tcMar>
            <w:vAlign w:val="center"/>
          </w:tcPr>
          <w:p>
            <w:pPr>
              <w:pStyle w:val="TableContents"/>
              <w:bidi w:val="0"/>
              <w:spacing w:before="0" w:after="0"/>
              <w:jc w:val="left"/>
              <w:rPr>
                <w:spacing w:val="-2"/>
              </w:rPr>
            </w:pPr>
            <w:r>
              <w:rPr>
                <w:spacing w:val="-2"/>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3"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Deductions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(1,044)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(8,701)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23" w:type="dxa"/>
            <w:tcBorders/>
            <w:tcMar>
              <w:bottom w:w="0" w:type="dxa"/>
            </w:tcMar>
            <w:vAlign w:val="center"/>
          </w:tcPr>
          <w:p>
            <w:pPr>
              <w:pStyle w:val="TableContents"/>
              <w:bidi w:val="0"/>
              <w:spacing w:before="0" w:after="0"/>
              <w:jc w:val="left"/>
              <w:rPr>
                <w:spacing w:val="-2"/>
              </w:rPr>
            </w:pPr>
            <w:r>
              <w:rPr>
                <w:spacing w:val="-2"/>
              </w:rPr>
              <w:t xml:space="preserve">Ending balance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3,956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11,255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24"/>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Significant Agreements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recognizes the following revenues from amounts included in deferred revenue as of the beginning of the period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6342"/>
        <w:gridCol w:w="109"/>
        <w:gridCol w:w="109"/>
        <w:gridCol w:w="109"/>
        <w:gridCol w:w="226"/>
        <w:gridCol w:w="346"/>
        <w:gridCol w:w="109"/>
        <w:gridCol w:w="109"/>
        <w:gridCol w:w="109"/>
        <w:gridCol w:w="109"/>
        <w:gridCol w:w="226"/>
        <w:gridCol w:w="646"/>
        <w:gridCol w:w="109"/>
        <w:gridCol w:w="154"/>
      </w:tblGrid>
      <w:tr>
        <w:trPr/>
        <w:tc>
          <w:tcPr>
            <w:tcW w:w="63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9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3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342" w:type="dxa"/>
            <w:tcBorders/>
            <w:shd w:fill="CCEEFF" w:val="clear"/>
            <w:tcMar>
              <w:bottom w:w="0" w:type="dxa"/>
            </w:tcMar>
            <w:vAlign w:val="center"/>
          </w:tcPr>
          <w:p>
            <w:pPr>
              <w:pStyle w:val="TableContents"/>
              <w:bidi w:val="0"/>
              <w:spacing w:before="0" w:after="0"/>
              <w:jc w:val="left"/>
              <w:rPr>
                <w:spacing w:val="-2"/>
              </w:rPr>
            </w:pPr>
            <w:r>
              <w:rPr>
                <w:spacing w:val="-2"/>
              </w:rPr>
              <w:t xml:space="preserve">Amounts included in deferred revenue as of the beginning of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34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2,078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10. 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Series Seed 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Beginning in September 2023 and in multiple closings through March 2024, the Company issued shares of its Series Seed convertible preferred stock pursuant to a Series Seed Convertible Preferred Stock Purchase Agreement (Series Seed Agreement) with certain investors. Pursuant to the Series Seed Agreement, the Company issued a total of 4,544,990 shares of Series Seed convertible preferred stock at a purchase price of $1.00 per share for gross proceeds of $4.5 million across multiple closings. The Company incurred $0.1 million in issuance costs associated with the Series Seed convertible preferred stock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Series A 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Beginning in April 2024 and closing in multiple closings through December 2024, the Company issued shares of its Series A convertible preferred stock pursuant to the Series A Agreement with certain investors. Pursuant to the Series A Agreement, the Company issued an aggregate of 13,996,318 shares of Series A convertible preferred stock. Of the 13,996,318 shares issued, 13,435,354 shares were issued at a price per share of $10.0295 for aggregate gross proceeds of $134.7 million. Additionally, the Company’s outstanding convertible notes and related accrued interest, at the time of the Series A Agreement, totaling $5.1 million, converted into 560,964 shares of Series A convertible preferred stock at a price per share of $9.02655, as further described in Note 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Company’s convertible preferred stock is summarized below (in thousands, except share amounts): </w:t>
      </w:r>
    </w:p>
    <w:tbl>
      <w:tblPr>
        <w:tblW w:w="9443" w:type="dxa"/>
        <w:jc w:val="left"/>
        <w:tblInd w:w="1393" w:type="dxa"/>
        <w:tblLayout w:type="fixed"/>
        <w:tblCellMar>
          <w:top w:w="0" w:type="dxa"/>
          <w:left w:w="0" w:type="dxa"/>
          <w:bottom w:w="28" w:type="dxa"/>
          <w:right w:w="0" w:type="dxa"/>
        </w:tblCellMar>
      </w:tblPr>
      <w:tblGrid>
        <w:gridCol w:w="1000"/>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226"/>
        <w:gridCol w:w="886"/>
        <w:gridCol w:w="109"/>
        <w:gridCol w:w="109"/>
        <w:gridCol w:w="109"/>
        <w:gridCol w:w="109"/>
        <w:gridCol w:w="226"/>
        <w:gridCol w:w="886"/>
        <w:gridCol w:w="109"/>
        <w:gridCol w:w="154"/>
      </w:tblGrid>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71" w:type="dxa"/>
            <w:gridSpan w:val="28"/>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As of December 31, 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Issued and</w:t>
            </w:r>
            <w:r>
              <w:rPr/>
              <w:t xml:space="preserve"> </w:t>
              <w:br/>
            </w:r>
            <w:r>
              <w:rPr>
                <w:spacing w:val="-2"/>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Common</w:t>
            </w:r>
            <w:r>
              <w:rPr/>
              <w:t xml:space="preserve"> </w:t>
              <w:br/>
            </w:r>
            <w:r>
              <w:rPr>
                <w:spacing w:val="-2"/>
              </w:rPr>
              <w:t>Shares</w:t>
            </w:r>
            <w:r>
              <w:rPr/>
              <w:t xml:space="preserve"> </w:t>
              <w:br/>
            </w:r>
            <w:r>
              <w:rPr>
                <w:spacing w:val="-2"/>
              </w:rPr>
              <w:t>Issuable upon</w:t>
            </w:r>
            <w:r>
              <w:rPr/>
              <w:t xml:space="preserve"> </w:t>
              <w:br/>
            </w:r>
            <w:r>
              <w:rPr>
                <w:spacing w:val="-2"/>
              </w:rPr>
              <w:t xml:space="preserve">Conversion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Carrying</w:t>
            </w:r>
            <w:r>
              <w:rPr/>
              <w:t xml:space="preserve"> </w:t>
              <w:br/>
            </w:r>
            <w:r>
              <w:rPr>
                <w:spacing w:val="-2"/>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Liquidation</w:t>
            </w:r>
            <w:r>
              <w:rPr/>
              <w:t xml:space="preserve"> </w:t>
              <w:br/>
            </w:r>
            <w:r>
              <w:rPr>
                <w:spacing w:val="-2"/>
              </w:rPr>
              <w:t xml:space="preserve">Preference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tcBorders>
              <w:bottom w:val="single" w:sz="2" w:space="0" w:color="FFFFFF"/>
            </w:tcBorders>
            <w:tcMar>
              <w:bottom w:w="37" w:type="dxa"/>
            </w:tcMar>
            <w:vAlign w:val="center"/>
          </w:tcPr>
          <w:p>
            <w:pPr>
              <w:pStyle w:val="TableContents"/>
              <w:bidi w:val="0"/>
              <w:spacing w:before="0" w:after="0"/>
              <w:ind w:left="200" w:right="0" w:hanging="200"/>
              <w:jc w:val="left"/>
              <w:rPr>
                <w:spacing w:val="-2"/>
              </w:rPr>
            </w:pPr>
            <w:r>
              <w:rPr>
                <w:spacing w:val="-2"/>
              </w:rPr>
              <w:t xml:space="preserve">Series A 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14,295,436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13,996,318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13,996,318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140,039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140,376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jc w:val="left"/>
              <w:rPr>
                <w:b/>
              </w:rPr>
            </w:pPr>
            <w:r>
              <w:rPr>
                <w:b/>
                <w:spacing w:val="-2"/>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18,840,426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18,541,308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18,541,308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144,514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144,921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10. Convertible Preferred Stock (Continued)</w:t>
      </w:r>
      <w:r>
        <w:rPr>
          <w:rFonts w:ascii="Helvetica;Arial;sans-serif" w:hAnsi="Helvetica;Arial;sans-serif"/>
          <w:b/>
          <w:i w:val="false"/>
          <w:caps w:val="false"/>
          <w:smallCaps w:val="false"/>
          <w:color w:val="000000"/>
          <w:sz w:val="20"/>
        </w:rPr>
        <w:t xml:space="preserve"> </w:t>
      </w:r>
    </w:p>
    <w:tbl>
      <w:tblPr>
        <w:tblW w:w="9443" w:type="dxa"/>
        <w:jc w:val="left"/>
        <w:tblInd w:w="1393" w:type="dxa"/>
        <w:tblLayout w:type="fixed"/>
        <w:tblCellMar>
          <w:top w:w="0" w:type="dxa"/>
          <w:left w:w="0" w:type="dxa"/>
          <w:bottom w:w="28" w:type="dxa"/>
          <w:right w:w="0" w:type="dxa"/>
        </w:tblCellMar>
      </w:tblPr>
      <w:tblGrid>
        <w:gridCol w:w="1000"/>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226"/>
        <w:gridCol w:w="886"/>
        <w:gridCol w:w="109"/>
        <w:gridCol w:w="109"/>
        <w:gridCol w:w="109"/>
        <w:gridCol w:w="109"/>
        <w:gridCol w:w="226"/>
        <w:gridCol w:w="886"/>
        <w:gridCol w:w="109"/>
        <w:gridCol w:w="154"/>
      </w:tblGrid>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71" w:type="dxa"/>
            <w:gridSpan w:val="28"/>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As of 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Total Shares</w:t>
            </w:r>
            <w:r>
              <w:rPr/>
              <w:t xml:space="preserve"> </w:t>
              <w:br/>
            </w:r>
            <w:r>
              <w:rPr>
                <w:spacing w:val="-2"/>
              </w:rPr>
              <w:t>Issued and</w:t>
            </w:r>
            <w:r>
              <w:rPr/>
              <w:t xml:space="preserve"> </w:t>
              <w:br/>
            </w:r>
            <w:r>
              <w:rPr>
                <w:spacing w:val="-2"/>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Common</w:t>
            </w:r>
            <w:r>
              <w:rPr/>
              <w:t xml:space="preserve"> </w:t>
              <w:br/>
            </w:r>
            <w:r>
              <w:rPr>
                <w:spacing w:val="-2"/>
              </w:rPr>
              <w:t>Shares</w:t>
            </w:r>
            <w:r>
              <w:rPr/>
              <w:t xml:space="preserve"> </w:t>
              <w:br/>
            </w:r>
            <w:r>
              <w:rPr>
                <w:spacing w:val="-2"/>
              </w:rPr>
              <w:t>Issuable upon</w:t>
            </w:r>
            <w:r>
              <w:rPr/>
              <w:t xml:space="preserve"> </w:t>
              <w:br/>
            </w:r>
            <w:r>
              <w:rPr>
                <w:spacing w:val="-2"/>
              </w:rPr>
              <w:t xml:space="preserve">Conversion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Carrying</w:t>
            </w:r>
            <w:r>
              <w:rPr/>
              <w:t xml:space="preserve"> </w:t>
              <w:br/>
            </w:r>
            <w:r>
              <w:rPr>
                <w:spacing w:val="-2"/>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Liquidation</w:t>
            </w:r>
            <w:r>
              <w:rPr/>
              <w:t xml:space="preserve"> </w:t>
              <w:br/>
            </w:r>
            <w:r>
              <w:rPr>
                <w:spacing w:val="-2"/>
              </w:rPr>
              <w:t xml:space="preserve">Preference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tcBorders>
              <w:bottom w:val="single" w:sz="2" w:space="0" w:color="FFFFFF"/>
            </w:tcBorders>
            <w:tcMar>
              <w:bottom w:w="37" w:type="dxa"/>
            </w:tcMar>
            <w:vAlign w:val="center"/>
          </w:tcPr>
          <w:p>
            <w:pPr>
              <w:pStyle w:val="TableContents"/>
              <w:bidi w:val="0"/>
              <w:spacing w:before="0" w:after="0"/>
              <w:ind w:left="200" w:right="0" w:hanging="200"/>
              <w:jc w:val="left"/>
              <w:rPr>
                <w:spacing w:val="-2"/>
              </w:rPr>
            </w:pPr>
            <w:r>
              <w:rPr>
                <w:spacing w:val="-2"/>
              </w:rPr>
              <w:t xml:space="preserve">Series A 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14,295,436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13,996,318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186" w:type="dxa"/>
            <w:tcBorders>
              <w:bottom w:val="single" w:sz="2" w:space="0" w:color="000000"/>
            </w:tcBorders>
            <w:tcMar>
              <w:bottom w:w="37" w:type="dxa"/>
            </w:tcMar>
            <w:vAlign w:val="center"/>
          </w:tcPr>
          <w:p>
            <w:pPr>
              <w:pStyle w:val="TableContents"/>
              <w:bidi w:val="0"/>
              <w:spacing w:before="0" w:after="283"/>
              <w:jc w:val="right"/>
              <w:rPr/>
            </w:pPr>
            <w:r>
              <w:rPr/>
              <w:t>13,996,318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140,039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140,376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jc w:val="left"/>
              <w:rPr>
                <w:b/>
              </w:rPr>
            </w:pPr>
            <w:r>
              <w:rPr>
                <w:b/>
                <w:spacing w:val="-2"/>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18,840,426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18,541,308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18,541,308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144,514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144,921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holders of the Series A and Series Seed convertible preferred stock have the following rights, preferences and privileges: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Conversion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series of convertible preferred stock are convertible at any time at the option of the holder and mandatorily convertible upon a qualified initial public offering or the vote or written consent of holders of at least 56% of the outstanding shares of convertible preferred stock (Requisite Holders) into common stock on a one-to-one basis. The Series A convertible preferred stock conversion price initially is equal to $10.0295, and the Series Seed convertible preferred stock conversion price initially is equal to $1.00, each subject to appropriate adjustment in the event of any stock dividend, stock split, combination or other similar recapitalization and other adjustments, including adjustment if common stock is issued for less than the original issue price of each series of convertible preferred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Voting</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holder of each share of Series Seed and Series A convertible preferred stock is entitled to one vote for each share of common stock into which such shares of Series Seed and Series A convertible preferred stock could then be converted and votes together with the holders of common stock as a single class, on an as-converted to common stock basis.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Redemption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holders of Series Seed and Series A convertible preferred stock do not have any redemption rights, except for the contingent redemption upon the occurrence of a Deemed Liquidation Event (as defined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Liquidation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event of any voluntary or involuntary liquidation, dissolution or winding up of the Company, or upon the occurrence of a Deemed Liquidation Event (as defined below), the holders of the Series Seed and Series A convertible preferred stock are entitled to receive an amount per share equal to the greater of (i) the respective original issuance price, plus any dividends declared but unpaid or (ii) the amount payable with respect to such share if it was converted to common stock immediately prior to such liquidation, dissolution, winding up or Deemed Liquidation Event (as defined below). Liquidation payments to the holders of the Series Seed and Series A convertible preferred stock have priority and are made in preference to any payments to the holders of common stock. After full payment of the liquidation preference to the holders of the Series Seed and Series A convertible preferred stock, the remaining assets, if any, will be distributed to the holders of shares of common stock, pro rata based on the number of shares held by each holder. Unless the Requisite Holders, elect otherwise, a “</w:t>
      </w:r>
      <w:r>
        <w:rPr>
          <w:rFonts w:ascii="Helvetica;Arial;sans-serif" w:hAnsi="Helvetica;Arial;sans-serif"/>
          <w:b w:val="false"/>
          <w:i/>
          <w:caps w:val="false"/>
          <w:smallCaps w:val="false"/>
          <w:color w:val="000000"/>
          <w:spacing w:val="-2"/>
          <w:sz w:val="20"/>
        </w:rPr>
        <w:t xml:space="preserve">Deemed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10. Convertible Preferred Stock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Liquidation Event</w:t>
      </w:r>
      <w:r>
        <w:rPr>
          <w:rFonts w:ascii="Helvetica;Arial;sans-serif" w:hAnsi="Helvetica;Arial;sans-serif"/>
          <w:b w:val="false"/>
          <w:i w:val="false"/>
          <w:caps w:val="false"/>
          <w:smallCaps w:val="false"/>
          <w:color w:val="000000"/>
          <w:spacing w:val="-2"/>
          <w:sz w:val="20"/>
        </w:rPr>
        <w:t xml:space="preserve">” shall include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 taken as a whole or the sale or disposition of one or more subsidiaries if substantially all of the assets of the Company and its subsidiaries are held by such subsidiary or subsidiaries.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Dividends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shall not declare, pay or set aside any dividends on shares of any class of capital stock of the Company unless the holders of the Series A and Series Seed convertible preferred stock shall first receive, or simultaneously receive, a noncumulative dividend on each outstanding share of the Series A and Series Seed convertible preferred stock equal to 8% of the original issue prices. No such dividends have been declared or paid through December 31, 2025.</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11. Common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was authorized to issue 30,000,000 shares of $0.0001 par value common stock as of December 31, 2024 and 2025,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On April 1, 2024, the Company issued 29,522 shares of common stock to OSIF in conjunction with the OSIF License Agreement (see Note 9). The OSIF common stock was fully vested at the time of issuance.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Features of the Common Stock</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common stock has a par value of $0.0001, and the holders of common stock are entitled to one vote for each share of common stock held at all meetings of stockholders and written actions in lieu of meetings provided. All dividends shall be declared and paid pro rata according to the number of shares held by each stockholder. In the event of a liquidation, dissolution, or winding up of the Company, the common stock ranks behind the preferred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Common stock reserved for future issuance consists of the following:</w:t>
      </w:r>
      <w:r>
        <w:rPr>
          <w:rFonts w:ascii="Helvetica;Arial;sans-serif" w:hAnsi="Helvetica;Arial;sans-serif"/>
          <w:b w:val="false"/>
          <w:i w:val="false"/>
          <w:caps w:val="false"/>
          <w:smallCaps w:val="false"/>
          <w:color w:val="000000"/>
          <w:spacing w:val="4"/>
          <w:sz w:val="20"/>
        </w:rPr>
        <w:t xml:space="preserve"> </w:t>
      </w:r>
    </w:p>
    <w:tbl>
      <w:tblPr>
        <w:tblW w:w="7875" w:type="dxa"/>
        <w:jc w:val="left"/>
        <w:tblInd w:w="1393" w:type="dxa"/>
        <w:tblLayout w:type="fixed"/>
        <w:tblCellMar>
          <w:top w:w="0" w:type="dxa"/>
          <w:left w:w="0" w:type="dxa"/>
          <w:bottom w:w="28" w:type="dxa"/>
          <w:right w:w="0" w:type="dxa"/>
        </w:tblCellMar>
      </w:tblPr>
      <w:tblGrid>
        <w:gridCol w:w="4259"/>
        <w:gridCol w:w="109"/>
        <w:gridCol w:w="109"/>
        <w:gridCol w:w="109"/>
        <w:gridCol w:w="109"/>
        <w:gridCol w:w="1186"/>
        <w:gridCol w:w="109"/>
        <w:gridCol w:w="109"/>
        <w:gridCol w:w="109"/>
        <w:gridCol w:w="109"/>
        <w:gridCol w:w="109"/>
        <w:gridCol w:w="1186"/>
        <w:gridCol w:w="109"/>
        <w:gridCol w:w="154"/>
      </w:tblGrid>
      <w:tr>
        <w:trPr/>
        <w:tc>
          <w:tcPr>
            <w:tcW w:w="42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4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As of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0"/>
              <w:jc w:val="left"/>
              <w:rPr>
                <w:spacing w:val="-2"/>
              </w:rPr>
            </w:pPr>
            <w:r>
              <w:rPr>
                <w:spacing w:val="-2"/>
              </w:rPr>
              <w:t xml:space="preserve">Series Seed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ind w:left="200" w:right="0" w:hanging="0"/>
              <w:jc w:val="left"/>
              <w:rPr>
                <w:spacing w:val="-2"/>
              </w:rPr>
            </w:pPr>
            <w:r>
              <w:rPr>
                <w:spacing w:val="-2"/>
              </w:rPr>
              <w:t xml:space="preserve">Series A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Unvested restricted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1,839,584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1,895,344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Stock options issued and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4,068,417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4,341,602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59"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Shares available for issuance under the Plan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502,749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568,697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24,952,058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25,346,951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12. Stock-based Compensation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2023 Stock Plan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2023 Plan was originally adopted with 1,035,000 shares of common stock reserved for issuance. The Board subsequently increased the number of shares reserved under the 2023 Plan at various times during 2024 and 2025. As of December 31, 2024 and 2025, the Company had reserved 4,571,166 and 4,910,299 shares of common stock for issuance under the 2023 Plan,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12. Stock-based Compensation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2023 Plan authorizes the Board or a committee of the Board to grant incentive stock options, nonqualified stock options, and restricted stock awards to eligible employees, directors, and non-employee consultants of the Company. The terms of stock awards agreements, including vesting requirements, are determined by the Board and are subject to the provisions of the 2023 Plan. The stock options granted to employees follow various vesting periods ranging from immediate to four-year vesting and have a term of up to ten years from the date of grant.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0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2025, the Company has 568,697 shares of common stock reserved for future issuance under the 2023 Plan. There are no additional shares of common stock available for future issuance outside the common stock reserved under the 2023 Plan.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Stock Option Valuation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0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estimates the fair value of stock options using the Black-Scholes option-pricing model. This model incorporates various assumptions, including the expected volatility, expected term, and interest rates.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0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presents, on a weighted-average basis, the assumptions used in the Black-Scholes option-pricing model to determine the fair value of stock options granted during 2024 and 2025:</w:t>
      </w:r>
      <w:r>
        <w:rPr>
          <w:rFonts w:ascii="Helvetica;Arial;sans-serif" w:hAnsi="Helvetica;Arial;sans-serif"/>
          <w:b w:val="false"/>
          <w:i w:val="false"/>
          <w:caps w:val="false"/>
          <w:smallCaps w:val="false"/>
          <w:color w:val="000000"/>
          <w:spacing w:val="4"/>
          <w:sz w:val="20"/>
        </w:rPr>
        <w:t xml:space="preserve"> </w:t>
      </w:r>
    </w:p>
    <w:tbl>
      <w:tblPr>
        <w:tblW w:w="8141" w:type="dxa"/>
        <w:jc w:val="left"/>
        <w:tblInd w:w="1393" w:type="dxa"/>
        <w:tblLayout w:type="fixed"/>
        <w:tblCellMar>
          <w:top w:w="0" w:type="dxa"/>
          <w:left w:w="0" w:type="dxa"/>
          <w:bottom w:w="28" w:type="dxa"/>
          <w:right w:w="0" w:type="dxa"/>
        </w:tblCellMar>
      </w:tblPr>
      <w:tblGrid>
        <w:gridCol w:w="3787"/>
        <w:gridCol w:w="109"/>
        <w:gridCol w:w="109"/>
        <w:gridCol w:w="1822"/>
        <w:gridCol w:w="109"/>
        <w:gridCol w:w="109"/>
        <w:gridCol w:w="1942"/>
        <w:gridCol w:w="154"/>
      </w:tblGrid>
      <w:tr>
        <w:trPr/>
        <w:tc>
          <w:tcPr>
            <w:tcW w:w="37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82"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2" w:type="dxa"/>
            <w:tcBorders>
              <w:bottom w:val="single" w:sz="2" w:space="0" w:color="000000"/>
            </w:tcBorders>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42" w:type="dxa"/>
            <w:tcBorders>
              <w:bottom w:val="single" w:sz="2" w:space="0" w:color="000000"/>
            </w:tcBorders>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87" w:type="dxa"/>
            <w:tcBorders/>
            <w:shd w:fill="CCEEFF" w:val="clear"/>
            <w:tcMar>
              <w:bottom w:w="0" w:type="dxa"/>
            </w:tcMar>
            <w:vAlign w:val="center"/>
          </w:tcPr>
          <w:p>
            <w:pPr>
              <w:pStyle w:val="TableContents"/>
              <w:bidi w:val="0"/>
              <w:spacing w:before="0" w:after="0"/>
              <w:jc w:val="left"/>
              <w:rPr>
                <w:spacing w:val="-2"/>
              </w:rPr>
            </w:pPr>
            <w:r>
              <w:rPr>
                <w:spacing w:val="-2"/>
              </w:rPr>
              <w:t xml:space="preserve">Risk-free interest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2" w:type="dxa"/>
            <w:tcBorders/>
            <w:shd w:fill="CCEEFF" w:val="clear"/>
            <w:tcMar>
              <w:bottom w:w="0" w:type="dxa"/>
            </w:tcMar>
            <w:vAlign w:val="center"/>
          </w:tcPr>
          <w:p>
            <w:pPr>
              <w:pStyle w:val="TableContents"/>
              <w:bidi w:val="0"/>
              <w:spacing w:before="0" w:after="0"/>
              <w:jc w:val="center"/>
              <w:rPr>
                <w:spacing w:val="-2"/>
              </w:rPr>
            </w:pPr>
            <w:r>
              <w:rPr>
                <w:spacing w:val="-2"/>
              </w:rPr>
              <w:t xml:space="preserve">3.55% – 4.47%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2" w:type="dxa"/>
            <w:tcBorders/>
            <w:shd w:fill="CCEEFF" w:val="clear"/>
            <w:tcMar>
              <w:bottom w:w="0" w:type="dxa"/>
            </w:tcMar>
            <w:vAlign w:val="center"/>
          </w:tcPr>
          <w:p>
            <w:pPr>
              <w:pStyle w:val="TableContents"/>
              <w:bidi w:val="0"/>
              <w:spacing w:before="0" w:after="0"/>
              <w:jc w:val="center"/>
              <w:rPr>
                <w:spacing w:val="-2"/>
              </w:rPr>
            </w:pPr>
            <w:r>
              <w:rPr>
                <w:spacing w:val="-2"/>
              </w:rPr>
              <w:t xml:space="preserve">3.67% – 4.22%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7" w:type="dxa"/>
            <w:tcBorders/>
            <w:tcMar>
              <w:bottom w:w="0" w:type="dxa"/>
            </w:tcMar>
            <w:vAlign w:val="center"/>
          </w:tcPr>
          <w:p>
            <w:pPr>
              <w:pStyle w:val="TableContents"/>
              <w:bidi w:val="0"/>
              <w:spacing w:before="0" w:after="0"/>
              <w:jc w:val="left"/>
              <w:rPr>
                <w:spacing w:val="-2"/>
              </w:rPr>
            </w:pPr>
            <w:r>
              <w:rPr>
                <w:spacing w:val="-2"/>
              </w:rPr>
              <w:t xml:space="preserve">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2" w:type="dxa"/>
            <w:tcBorders/>
            <w:tcMar>
              <w:bottom w:w="0" w:type="dxa"/>
            </w:tcMar>
            <w:vAlign w:val="center"/>
          </w:tcPr>
          <w:p>
            <w:pPr>
              <w:pStyle w:val="TableContents"/>
              <w:bidi w:val="0"/>
              <w:spacing w:before="0" w:after="0"/>
              <w:jc w:val="center"/>
              <w:rPr>
                <w:spacing w:val="-2"/>
              </w:rPr>
            </w:pPr>
            <w:r>
              <w:rPr>
                <w:spacing w:val="-2"/>
              </w:rPr>
              <w:t xml:space="preserve">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2" w:type="dxa"/>
            <w:tcBorders/>
            <w:tcMar>
              <w:bottom w:w="0" w:type="dxa"/>
            </w:tcMar>
            <w:vAlign w:val="center"/>
          </w:tcPr>
          <w:p>
            <w:pPr>
              <w:pStyle w:val="TableContents"/>
              <w:bidi w:val="0"/>
              <w:spacing w:before="0" w:after="0"/>
              <w:jc w:val="center"/>
              <w:rPr>
                <w:spacing w:val="-2"/>
              </w:rPr>
            </w:pPr>
            <w:r>
              <w:rPr>
                <w:spacing w:val="-2"/>
              </w:rPr>
              <w:t xml:space="preserve">0% </w:t>
            </w:r>
          </w:p>
        </w:tc>
        <w:tc>
          <w:tcPr>
            <w:tcW w:w="154" w:type="dxa"/>
            <w:tcBorders/>
            <w:tcMar>
              <w:bottom w:w="0" w:type="dxa"/>
            </w:tcMar>
            <w:vAlign w:val="center"/>
          </w:tcPr>
          <w:p>
            <w:pPr>
              <w:pStyle w:val="TableContents"/>
              <w:bidi w:val="0"/>
              <w:spacing w:before="0" w:after="283"/>
              <w:jc w:val="left"/>
              <w:rPr/>
            </w:pPr>
            <w:r>
              <w:rPr/>
              <w:t>​</w:t>
            </w:r>
          </w:p>
        </w:tc>
      </w:tr>
      <w:tr>
        <w:trPr/>
        <w:tc>
          <w:tcPr>
            <w:tcW w:w="3787" w:type="dxa"/>
            <w:tcBorders/>
            <w:shd w:fill="CCEEFF" w:val="clear"/>
            <w:tcMar>
              <w:bottom w:w="0" w:type="dxa"/>
            </w:tcMar>
            <w:vAlign w:val="center"/>
          </w:tcPr>
          <w:p>
            <w:pPr>
              <w:pStyle w:val="TableContents"/>
              <w:bidi w:val="0"/>
              <w:spacing w:before="0" w:after="0"/>
              <w:jc w:val="left"/>
              <w:rPr>
                <w:spacing w:val="-2"/>
              </w:rPr>
            </w:pPr>
            <w:r>
              <w:rPr>
                <w:spacing w:val="-2"/>
              </w:rPr>
              <w:t xml:space="preserve">Expected term of options (years) range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2" w:type="dxa"/>
            <w:tcBorders/>
            <w:shd w:fill="CCEEFF" w:val="clear"/>
            <w:tcMar>
              <w:bottom w:w="0" w:type="dxa"/>
            </w:tcMar>
            <w:vAlign w:val="center"/>
          </w:tcPr>
          <w:p>
            <w:pPr>
              <w:pStyle w:val="TableContents"/>
              <w:bidi w:val="0"/>
              <w:spacing w:before="0" w:after="0"/>
              <w:jc w:val="center"/>
              <w:rPr>
                <w:spacing w:val="-2"/>
              </w:rPr>
            </w:pPr>
            <w:r>
              <w:rPr>
                <w:spacing w:val="-2"/>
              </w:rPr>
              <w:t xml:space="preserve">5.00 – 6.08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2" w:type="dxa"/>
            <w:tcBorders/>
            <w:shd w:fill="CCEEFF" w:val="clear"/>
            <w:tcMar>
              <w:bottom w:w="0" w:type="dxa"/>
            </w:tcMar>
            <w:vAlign w:val="center"/>
          </w:tcPr>
          <w:p>
            <w:pPr>
              <w:pStyle w:val="TableContents"/>
              <w:bidi w:val="0"/>
              <w:spacing w:before="0" w:after="0"/>
              <w:jc w:val="center"/>
              <w:rPr>
                <w:spacing w:val="-2"/>
              </w:rPr>
            </w:pPr>
            <w:r>
              <w:rPr>
                <w:spacing w:val="-2"/>
              </w:rPr>
              <w:t xml:space="preserve">5.27 – 6.08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7" w:type="dxa"/>
            <w:tcBorders/>
            <w:tcMar>
              <w:bottom w:w="0" w:type="dxa"/>
            </w:tcMar>
            <w:vAlign w:val="center"/>
          </w:tcPr>
          <w:p>
            <w:pPr>
              <w:pStyle w:val="TableContents"/>
              <w:bidi w:val="0"/>
              <w:spacing w:before="0" w:after="0"/>
              <w:jc w:val="left"/>
              <w:rPr>
                <w:spacing w:val="-2"/>
              </w:rPr>
            </w:pPr>
            <w:r>
              <w:rPr>
                <w:spacing w:val="-2"/>
              </w:rPr>
              <w:t xml:space="preserve">Volatility rate range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2" w:type="dxa"/>
            <w:tcBorders/>
            <w:tcMar>
              <w:bottom w:w="0" w:type="dxa"/>
            </w:tcMar>
            <w:vAlign w:val="center"/>
          </w:tcPr>
          <w:p>
            <w:pPr>
              <w:pStyle w:val="TableContents"/>
              <w:bidi w:val="0"/>
              <w:spacing w:before="0" w:after="0"/>
              <w:jc w:val="center"/>
              <w:rPr>
                <w:spacing w:val="-2"/>
              </w:rPr>
            </w:pPr>
            <w:r>
              <w:rPr>
                <w:spacing w:val="-2"/>
              </w:rPr>
              <w:t xml:space="preserve">67.68% – 69.21%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2" w:type="dxa"/>
            <w:tcBorders/>
            <w:tcMar>
              <w:bottom w:w="0" w:type="dxa"/>
            </w:tcMar>
            <w:vAlign w:val="center"/>
          </w:tcPr>
          <w:p>
            <w:pPr>
              <w:pStyle w:val="TableContents"/>
              <w:bidi w:val="0"/>
              <w:spacing w:before="0" w:after="0"/>
              <w:jc w:val="center"/>
              <w:rPr/>
            </w:pPr>
            <w:r>
              <w:rPr>
                <w:spacing w:val="-2"/>
              </w:rPr>
              <w:t>87.73% – 111.06%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weighted-average grant-date fair value of stock options granted during the years ended December 31, 2024 and 2025 was $3.41 and $2.05 per share,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Time-Based Stock Options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Company’s time-based stock option activity for the year ended December 31, 2025:</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021"/>
        <w:gridCol w:w="109"/>
        <w:gridCol w:w="109"/>
        <w:gridCol w:w="109"/>
        <w:gridCol w:w="109"/>
        <w:gridCol w:w="1091"/>
        <w:gridCol w:w="109"/>
        <w:gridCol w:w="109"/>
        <w:gridCol w:w="109"/>
        <w:gridCol w:w="115"/>
        <w:gridCol w:w="239"/>
        <w:gridCol w:w="559"/>
        <w:gridCol w:w="116"/>
        <w:gridCol w:w="109"/>
        <w:gridCol w:w="109"/>
        <w:gridCol w:w="152"/>
        <w:gridCol w:w="152"/>
        <w:gridCol w:w="743"/>
        <w:gridCol w:w="155"/>
        <w:gridCol w:w="109"/>
        <w:gridCol w:w="109"/>
        <w:gridCol w:w="111"/>
        <w:gridCol w:w="230"/>
        <w:gridCol w:w="658"/>
        <w:gridCol w:w="111"/>
        <w:gridCol w:w="160"/>
      </w:tblGrid>
      <w:tr>
        <w:trPr/>
        <w:tc>
          <w:tcPr>
            <w:tcW w:w="30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8"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Number of </w:t>
            </w:r>
            <w:r>
              <w:rPr/>
              <w:br/>
            </w:r>
            <w:r>
              <w:rPr>
                <w:spacing w:val="-2"/>
              </w:rPr>
              <w:t xml:space="preserve">Outstanding </w:t>
            </w:r>
            <w:r>
              <w:rPr/>
              <w:br/>
            </w:r>
            <w:r>
              <w:rPr>
                <w:spacing w:val="-2"/>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Weighted </w:t>
            </w:r>
            <w:r>
              <w:rPr/>
              <w:br/>
            </w:r>
            <w:r>
              <w:rPr>
                <w:spacing w:val="-2"/>
              </w:rPr>
              <w:t xml:space="preserve">Average </w:t>
            </w:r>
            <w:r>
              <w:rPr/>
              <w:br/>
            </w:r>
            <w:r>
              <w:rPr>
                <w:spacing w:val="-2"/>
              </w:rPr>
              <w:t xml:space="preserve">Exercise </w:t>
            </w:r>
            <w:r>
              <w:rPr/>
              <w:br/>
            </w:r>
            <w:r>
              <w:rPr>
                <w:spacing w:val="-2"/>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Weighted </w:t>
            </w:r>
            <w:r>
              <w:rPr/>
              <w:br/>
            </w:r>
            <w:r>
              <w:rPr>
                <w:spacing w:val="-2"/>
              </w:rPr>
              <w:t xml:space="preserve">Average </w:t>
            </w:r>
            <w:r>
              <w:rPr/>
              <w:br/>
            </w:r>
            <w:r>
              <w:rPr>
                <w:spacing w:val="-2"/>
              </w:rPr>
              <w:t xml:space="preserve">Remaining </w:t>
            </w:r>
            <w:r>
              <w:rPr/>
              <w:br/>
            </w:r>
            <w:r>
              <w:rPr>
                <w:spacing w:val="-2"/>
              </w:rPr>
              <w:t xml:space="preserve">Contractual </w:t>
            </w:r>
            <w:r>
              <w:rPr/>
              <w:br/>
            </w:r>
            <w:r>
              <w:rPr>
                <w:spacing w:val="-2"/>
              </w:rPr>
              <w:t xml:space="preserve">Term </w:t>
            </w:r>
            <w:r>
              <w:rPr/>
              <w:br/>
            </w:r>
            <w:r>
              <w:rPr>
                <w:spacing w:val="-2"/>
              </w:rPr>
              <w:t xml:space="preserve">(in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Aggregate </w:t>
            </w:r>
            <w:r>
              <w:rPr/>
              <w:br/>
            </w:r>
            <w:r>
              <w:rPr>
                <w:spacing w:val="-2"/>
              </w:rPr>
              <w:t xml:space="preserve">Intrinsic </w:t>
            </w:r>
            <w:r>
              <w:rPr/>
              <w:br/>
            </w:r>
            <w:r>
              <w:rPr>
                <w:spacing w:val="-2"/>
              </w:rPr>
              <w:t xml:space="preserve">Value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021"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2,871,145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559" w:type="dxa"/>
            <w:tcBorders/>
            <w:shd w:fill="CCEEFF" w:val="clear"/>
            <w:tcMar>
              <w:bottom w:w="0" w:type="dxa"/>
            </w:tcMar>
            <w:vAlign w:val="center"/>
          </w:tcPr>
          <w:p>
            <w:pPr>
              <w:pStyle w:val="TableContents"/>
              <w:bidi w:val="0"/>
              <w:spacing w:before="0" w:after="283"/>
              <w:jc w:val="right"/>
              <w:rPr/>
            </w:pPr>
            <w:r>
              <w:rPr/>
              <w:t>0.90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743" w:type="dxa"/>
            <w:tcBorders/>
            <w:shd w:fill="CCEEFF" w:val="clear"/>
            <w:tcMar>
              <w:bottom w:w="0" w:type="dxa"/>
            </w:tcMar>
            <w:vAlign w:val="center"/>
          </w:tcPr>
          <w:p>
            <w:pPr>
              <w:pStyle w:val="TableContents"/>
              <w:bidi w:val="0"/>
              <w:spacing w:before="0" w:after="283"/>
              <w:jc w:val="right"/>
              <w:rPr/>
            </w:pPr>
            <w:r>
              <w:rPr/>
              <w:t>9.67</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9,508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021" w:type="dxa"/>
            <w:tcBorders/>
            <w:tcMar>
              <w:bottom w:w="0" w:type="dxa"/>
            </w:tcMar>
            <w:vAlign w:val="center"/>
          </w:tcPr>
          <w:p>
            <w:pPr>
              <w:pStyle w:val="TableContents"/>
              <w:bidi w:val="0"/>
              <w:spacing w:before="0" w:after="0"/>
              <w:jc w:val="left"/>
              <w:rPr>
                <w:spacing w:val="-2"/>
              </w:rPr>
            </w:pPr>
            <w:r>
              <w:rPr>
                <w:spacing w:val="-2"/>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1,029,299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559" w:type="dxa"/>
            <w:tcBorders/>
            <w:tcMar>
              <w:bottom w:w="0" w:type="dxa"/>
            </w:tcMar>
            <w:vAlign w:val="center"/>
          </w:tcPr>
          <w:p>
            <w:pPr>
              <w:pStyle w:val="TableContents"/>
              <w:bidi w:val="0"/>
              <w:spacing w:before="0" w:after="283"/>
              <w:jc w:val="right"/>
              <w:rPr/>
            </w:pPr>
            <w:r>
              <w:rPr/>
              <w:t>1.80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743"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021" w:type="dxa"/>
            <w:tcBorders/>
            <w:shd w:fill="CCEEFF" w:val="clear"/>
            <w:tcMar>
              <w:bottom w:w="0" w:type="dxa"/>
            </w:tcMar>
            <w:vAlign w:val="center"/>
          </w:tcPr>
          <w:p>
            <w:pPr>
              <w:pStyle w:val="TableContents"/>
              <w:bidi w:val="0"/>
              <w:spacing w:before="0" w:after="0"/>
              <w:jc w:val="left"/>
              <w:rPr>
                <w:spacing w:val="-2"/>
              </w:rPr>
            </w:pPr>
            <w:r>
              <w:rPr>
                <w:spacing w:val="-2"/>
              </w:rPr>
              <w:t xml:space="preserve">Exercised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(816,604)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559" w:type="dxa"/>
            <w:tcBorders/>
            <w:shd w:fill="CCEEFF" w:val="clear"/>
            <w:tcMar>
              <w:bottom w:w="0" w:type="dxa"/>
            </w:tcMar>
            <w:vAlign w:val="center"/>
          </w:tcPr>
          <w:p>
            <w:pPr>
              <w:pStyle w:val="TableContents"/>
              <w:bidi w:val="0"/>
              <w:spacing w:before="0" w:after="283"/>
              <w:jc w:val="right"/>
              <w:rPr/>
            </w:pPr>
            <w:r>
              <w:rPr/>
              <w:t>0.77</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743"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021" w:type="dxa"/>
            <w:tcBorders/>
            <w:tcMar>
              <w:bottom w:w="0" w:type="dxa"/>
            </w:tcMar>
            <w:vAlign w:val="center"/>
          </w:tcPr>
          <w:p>
            <w:pPr>
              <w:pStyle w:val="TableContents"/>
              <w:bidi w:val="0"/>
              <w:spacing w:before="0" w:after="0"/>
              <w:jc w:val="left"/>
              <w:rPr>
                <w:spacing w:val="-2"/>
              </w:rPr>
            </w:pPr>
            <w:r>
              <w:rPr>
                <w:spacing w:val="-2"/>
              </w:rPr>
              <w:t xml:space="preserve">Cancelled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559" w:type="dxa"/>
            <w:tcBorders/>
            <w:tcMar>
              <w:bottom w:w="0" w:type="dxa"/>
            </w:tcMar>
            <w:vAlign w:val="center"/>
          </w:tcPr>
          <w:p>
            <w:pPr>
              <w:pStyle w:val="TableContents"/>
              <w:bidi w:val="0"/>
              <w:spacing w:before="0" w:after="283"/>
              <w:jc w:val="right"/>
              <w:rPr/>
            </w:pPr>
            <w:r>
              <w:rPr/>
              <w:t>2.01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743"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021"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Forfeited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1" w:type="dxa"/>
            <w:tcBorders>
              <w:bottom w:val="single" w:sz="2" w:space="0" w:color="000000"/>
            </w:tcBorders>
            <w:shd w:fill="CCEEFF" w:val="clear"/>
            <w:tcMar>
              <w:bottom w:w="50" w:type="dxa"/>
            </w:tcMar>
            <w:vAlign w:val="center"/>
          </w:tcPr>
          <w:p>
            <w:pPr>
              <w:pStyle w:val="TableContents"/>
              <w:bidi w:val="0"/>
              <w:spacing w:before="0" w:after="283"/>
              <w:jc w:val="right"/>
              <w:rPr/>
            </w:pPr>
            <w:r>
              <w:rPr/>
              <w:t>(7,367)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23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59" w:type="dxa"/>
            <w:tcBorders>
              <w:bottom w:val="single" w:sz="2" w:space="0" w:color="000000"/>
            </w:tcBorders>
            <w:shd w:fill="CCEEFF" w:val="clear"/>
            <w:tcMar>
              <w:bottom w:w="50" w:type="dxa"/>
            </w:tcMar>
            <w:vAlign w:val="center"/>
          </w:tcPr>
          <w:p>
            <w:pPr>
              <w:pStyle w:val="TableContents"/>
              <w:bidi w:val="0"/>
              <w:spacing w:before="0" w:after="283"/>
              <w:jc w:val="right"/>
              <w:rPr/>
            </w:pPr>
            <w:r>
              <w:rPr/>
              <w:t>1.00</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21" w:type="dxa"/>
            <w:tcBorders/>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091" w:type="dxa"/>
            <w:tcBorders>
              <w:bottom w:val="double" w:sz="8" w:space="0" w:color="000000"/>
            </w:tcBorders>
            <w:tcMar>
              <w:bottom w:w="50" w:type="dxa"/>
            </w:tcMar>
            <w:vAlign w:val="center"/>
          </w:tcPr>
          <w:p>
            <w:pPr>
              <w:pStyle w:val="TableContents"/>
              <w:bidi w:val="0"/>
              <w:spacing w:before="0" w:after="283"/>
              <w:jc w:val="right"/>
              <w:rPr/>
            </w:pPr>
            <w:r>
              <w:rPr/>
              <w:t xml:space="preserve">3,066,473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bottom w:val="double" w:sz="8" w:space="0" w:color="000000"/>
            </w:tcBorders>
            <w:tcMar>
              <w:bottom w:w="50" w:type="dxa"/>
            </w:tcMar>
            <w:vAlign w:val="center"/>
          </w:tcPr>
          <w:p>
            <w:pPr>
              <w:pStyle w:val="TableContents"/>
              <w:bidi w:val="0"/>
              <w:spacing w:before="0" w:after="283"/>
              <w:jc w:val="right"/>
              <w:rPr/>
            </w:pPr>
            <w:r>
              <w:rPr/>
              <w:t>$</w:t>
            </w:r>
          </w:p>
        </w:tc>
        <w:tc>
          <w:tcPr>
            <w:tcW w:w="559" w:type="dxa"/>
            <w:tcBorders>
              <w:bottom w:val="double" w:sz="8" w:space="0" w:color="000000"/>
            </w:tcBorders>
            <w:tcMar>
              <w:bottom w:w="50" w:type="dxa"/>
            </w:tcMar>
            <w:vAlign w:val="center"/>
          </w:tcPr>
          <w:p>
            <w:pPr>
              <w:pStyle w:val="TableContents"/>
              <w:bidi w:val="0"/>
              <w:spacing w:before="0" w:after="283"/>
              <w:jc w:val="right"/>
              <w:rPr/>
            </w:pPr>
            <w:r>
              <w:rPr/>
              <w:t>1.23</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bottom w:val="double" w:sz="8" w:space="0" w:color="000000"/>
            </w:tcBorders>
            <w:tcMar>
              <w:bottom w:w="50" w:type="dxa"/>
            </w:tcMar>
            <w:vAlign w:val="center"/>
          </w:tcPr>
          <w:p>
            <w:pPr>
              <w:pStyle w:val="TableContents"/>
              <w:bidi w:val="0"/>
              <w:spacing w:before="0" w:after="283"/>
              <w:jc w:val="right"/>
              <w:rPr/>
            </w:pPr>
            <w:r>
              <w:rPr/>
              <w:t>​</w:t>
            </w:r>
          </w:p>
        </w:tc>
        <w:tc>
          <w:tcPr>
            <w:tcW w:w="743" w:type="dxa"/>
            <w:tcBorders>
              <w:bottom w:val="double" w:sz="8" w:space="0" w:color="000000"/>
            </w:tcBorders>
            <w:tcMar>
              <w:bottom w:w="50" w:type="dxa"/>
            </w:tcMar>
            <w:vAlign w:val="center"/>
          </w:tcPr>
          <w:p>
            <w:pPr>
              <w:pStyle w:val="TableContents"/>
              <w:bidi w:val="0"/>
              <w:spacing w:before="0" w:after="283"/>
              <w:jc w:val="right"/>
              <w:rPr/>
            </w:pPr>
            <w:r>
              <w:rPr/>
              <w:t>8.98</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bottom w:val="double" w:sz="8" w:space="0" w:color="000000"/>
            </w:tcBorders>
            <w:tcMar>
              <w:bottom w:w="50" w:type="dxa"/>
            </w:tcMar>
            <w:vAlign w:val="center"/>
          </w:tcPr>
          <w:p>
            <w:pPr>
              <w:pStyle w:val="TableContents"/>
              <w:bidi w:val="0"/>
              <w:spacing w:before="0" w:after="283"/>
              <w:jc w:val="right"/>
              <w:rPr/>
            </w:pPr>
            <w:r>
              <w:rPr/>
              <w:t>$</w:t>
            </w:r>
          </w:p>
        </w:tc>
        <w:tc>
          <w:tcPr>
            <w:tcW w:w="658" w:type="dxa"/>
            <w:tcBorders>
              <w:bottom w:val="double" w:sz="8" w:space="0" w:color="000000"/>
            </w:tcBorders>
            <w:tcMar>
              <w:bottom w:w="50" w:type="dxa"/>
            </w:tcMar>
            <w:vAlign w:val="center"/>
          </w:tcPr>
          <w:p>
            <w:pPr>
              <w:pStyle w:val="TableContents"/>
              <w:bidi w:val="0"/>
              <w:spacing w:before="0" w:after="283"/>
              <w:jc w:val="right"/>
              <w:rPr/>
            </w:pPr>
            <w:r>
              <w:rPr/>
              <w:t>2,383</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021"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Vested and expected to vest as of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91" w:type="dxa"/>
            <w:tcBorders>
              <w:bottom w:val="double" w:sz="8" w:space="0" w:color="000000"/>
            </w:tcBorders>
            <w:shd w:fill="CCEEFF" w:val="clear"/>
            <w:tcMar>
              <w:bottom w:w="37" w:type="dxa"/>
            </w:tcMar>
            <w:vAlign w:val="center"/>
          </w:tcPr>
          <w:p>
            <w:pPr>
              <w:pStyle w:val="TableContents"/>
              <w:bidi w:val="0"/>
              <w:spacing w:before="0" w:after="283"/>
              <w:jc w:val="right"/>
              <w:rPr/>
            </w:pPr>
            <w:r>
              <w:rPr/>
              <w:t>3,066,473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559" w:type="dxa"/>
            <w:tcBorders>
              <w:bottom w:val="double" w:sz="8" w:space="0" w:color="000000"/>
            </w:tcBorders>
            <w:shd w:fill="CCEEFF" w:val="clear"/>
            <w:tcMar>
              <w:bottom w:w="37" w:type="dxa"/>
            </w:tcMar>
            <w:vAlign w:val="center"/>
          </w:tcPr>
          <w:p>
            <w:pPr>
              <w:pStyle w:val="TableContents"/>
              <w:bidi w:val="0"/>
              <w:spacing w:before="0" w:after="283"/>
              <w:jc w:val="right"/>
              <w:rPr/>
            </w:pPr>
            <w:r>
              <w:rPr/>
              <w:t>1.23</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743" w:type="dxa"/>
            <w:tcBorders>
              <w:bottom w:val="double" w:sz="8" w:space="0" w:color="000000"/>
            </w:tcBorders>
            <w:shd w:fill="CCEEFF" w:val="clear"/>
            <w:tcMar>
              <w:bottom w:w="37" w:type="dxa"/>
            </w:tcMar>
            <w:vAlign w:val="center"/>
          </w:tcPr>
          <w:p>
            <w:pPr>
              <w:pStyle w:val="TableContents"/>
              <w:bidi w:val="0"/>
              <w:spacing w:before="0" w:after="283"/>
              <w:jc w:val="right"/>
              <w:rPr/>
            </w:pPr>
            <w:r>
              <w:rPr/>
              <w:t>8.98</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658" w:type="dxa"/>
            <w:tcBorders>
              <w:bottom w:val="double" w:sz="8" w:space="0" w:color="000000"/>
            </w:tcBorders>
            <w:shd w:fill="CCEEFF" w:val="clear"/>
            <w:tcMar>
              <w:bottom w:w="37" w:type="dxa"/>
            </w:tcMar>
            <w:vAlign w:val="center"/>
          </w:tcPr>
          <w:p>
            <w:pPr>
              <w:pStyle w:val="TableContents"/>
              <w:bidi w:val="0"/>
              <w:spacing w:before="0" w:after="283"/>
              <w:jc w:val="right"/>
              <w:rPr/>
            </w:pPr>
            <w:r>
              <w:rPr/>
              <w:t>2,383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021" w:type="dxa"/>
            <w:tcBorders/>
            <w:tcMar>
              <w:bottom w:w="0" w:type="dxa"/>
            </w:tcMar>
            <w:vAlign w:val="center"/>
          </w:tcPr>
          <w:p>
            <w:pPr>
              <w:pStyle w:val="TableContents"/>
              <w:bidi w:val="0"/>
              <w:spacing w:before="0" w:after="0"/>
              <w:ind w:left="200" w:right="0" w:hanging="200"/>
              <w:jc w:val="left"/>
              <w:rPr>
                <w:spacing w:val="-2"/>
              </w:rPr>
            </w:pPr>
            <w:r>
              <w:rPr>
                <w:spacing w:val="-2"/>
              </w:rPr>
              <w:t xml:space="preserve">Vested and exercisable at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7" w:type="dxa"/>
            </w:tcMar>
            <w:vAlign w:val="center"/>
          </w:tcPr>
          <w:p>
            <w:pPr>
              <w:pStyle w:val="TableContents"/>
              <w:bidi w:val="0"/>
              <w:spacing w:before="0" w:after="283"/>
              <w:jc w:val="right"/>
              <w:rPr/>
            </w:pPr>
            <w:r>
              <w:rPr/>
              <w:t>​</w:t>
            </w:r>
          </w:p>
        </w:tc>
        <w:tc>
          <w:tcPr>
            <w:tcW w:w="1091" w:type="dxa"/>
            <w:tcBorders>
              <w:bottom w:val="double" w:sz="8" w:space="0" w:color="000000"/>
            </w:tcBorders>
            <w:tcMar>
              <w:bottom w:w="37" w:type="dxa"/>
            </w:tcMar>
            <w:vAlign w:val="center"/>
          </w:tcPr>
          <w:p>
            <w:pPr>
              <w:pStyle w:val="TableContents"/>
              <w:bidi w:val="0"/>
              <w:spacing w:before="0" w:after="283"/>
              <w:jc w:val="right"/>
              <w:rPr/>
            </w:pPr>
            <w:r>
              <w:rPr/>
              <w:t>771,780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bottom w:val="double" w:sz="8" w:space="0" w:color="000000"/>
            </w:tcBorders>
            <w:tcMar>
              <w:bottom w:w="37" w:type="dxa"/>
            </w:tcMar>
            <w:vAlign w:val="center"/>
          </w:tcPr>
          <w:p>
            <w:pPr>
              <w:pStyle w:val="TableContents"/>
              <w:bidi w:val="0"/>
              <w:spacing w:before="0" w:after="283"/>
              <w:jc w:val="right"/>
              <w:rPr/>
            </w:pPr>
            <w:r>
              <w:rPr/>
              <w:t>$</w:t>
            </w:r>
          </w:p>
        </w:tc>
        <w:tc>
          <w:tcPr>
            <w:tcW w:w="559" w:type="dxa"/>
            <w:tcBorders>
              <w:bottom w:val="double" w:sz="8" w:space="0" w:color="000000"/>
            </w:tcBorders>
            <w:tcMar>
              <w:bottom w:w="37" w:type="dxa"/>
            </w:tcMar>
            <w:vAlign w:val="center"/>
          </w:tcPr>
          <w:p>
            <w:pPr>
              <w:pStyle w:val="TableContents"/>
              <w:bidi w:val="0"/>
              <w:spacing w:before="0" w:after="283"/>
              <w:jc w:val="right"/>
              <w:rPr/>
            </w:pPr>
            <w:r>
              <w:rPr/>
              <w:t>0.72</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bottom w:val="double" w:sz="8" w:space="0" w:color="000000"/>
            </w:tcBorders>
            <w:tcMar>
              <w:bottom w:w="37" w:type="dxa"/>
            </w:tcMar>
            <w:vAlign w:val="center"/>
          </w:tcPr>
          <w:p>
            <w:pPr>
              <w:pStyle w:val="TableContents"/>
              <w:bidi w:val="0"/>
              <w:spacing w:before="0" w:after="283"/>
              <w:jc w:val="right"/>
              <w:rPr/>
            </w:pPr>
            <w:r>
              <w:rPr/>
              <w:t>​</w:t>
            </w:r>
          </w:p>
        </w:tc>
        <w:tc>
          <w:tcPr>
            <w:tcW w:w="743" w:type="dxa"/>
            <w:tcBorders>
              <w:bottom w:val="double" w:sz="8" w:space="0" w:color="000000"/>
            </w:tcBorders>
            <w:tcMar>
              <w:bottom w:w="37" w:type="dxa"/>
            </w:tcMar>
            <w:vAlign w:val="center"/>
          </w:tcPr>
          <w:p>
            <w:pPr>
              <w:pStyle w:val="TableContents"/>
              <w:bidi w:val="0"/>
              <w:spacing w:before="0" w:after="283"/>
              <w:jc w:val="right"/>
              <w:rPr/>
            </w:pPr>
            <w:r>
              <w:rPr/>
              <w:t>8.58</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bottom w:val="double" w:sz="8" w:space="0" w:color="000000"/>
            </w:tcBorders>
            <w:tcMar>
              <w:bottom w:w="37" w:type="dxa"/>
            </w:tcMar>
            <w:vAlign w:val="center"/>
          </w:tcPr>
          <w:p>
            <w:pPr>
              <w:pStyle w:val="TableContents"/>
              <w:bidi w:val="0"/>
              <w:spacing w:before="0" w:after="283"/>
              <w:jc w:val="right"/>
              <w:rPr/>
            </w:pPr>
            <w:r>
              <w:rPr/>
              <w:t>$</w:t>
            </w:r>
          </w:p>
        </w:tc>
        <w:tc>
          <w:tcPr>
            <w:tcW w:w="658" w:type="dxa"/>
            <w:tcBorders>
              <w:bottom w:val="double" w:sz="8" w:space="0" w:color="000000"/>
            </w:tcBorders>
            <w:tcMar>
              <w:bottom w:w="37" w:type="dxa"/>
            </w:tcMar>
            <w:vAlign w:val="center"/>
          </w:tcPr>
          <w:p>
            <w:pPr>
              <w:pStyle w:val="TableContents"/>
              <w:bidi w:val="0"/>
              <w:spacing w:before="0" w:after="283"/>
              <w:jc w:val="right"/>
              <w:rPr/>
            </w:pPr>
            <w:r>
              <w:rPr/>
              <w:t>1,350</w:t>
            </w:r>
          </w:p>
        </w:tc>
        <w:tc>
          <w:tcPr>
            <w:tcW w:w="111"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12. Stock-based Compensation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2025, there was $6.4 million of total unrecognized compensation cost related to time-based unvested stock options, and the Company expects to recognize such amount over a remaining weighted-average period of 2.9 years.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Performance-Based Stock Options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granted stock options to certain employees to purchase shares of common stock that contain performance-based vesting criteria related to corporate or scientific milestones. The fair value of each option grant with performance-based vesting was estimated on the date of grant.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 As of December 31, 2025, no stock-based compensation expense has been recognized for performance-based stock options as the achievement of the underlying performance conditions was not considered probable.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Company’s performance-based stock option activity for the year ended December 31, 2025:</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029"/>
        <w:gridCol w:w="109"/>
        <w:gridCol w:w="109"/>
        <w:gridCol w:w="109"/>
        <w:gridCol w:w="109"/>
        <w:gridCol w:w="1066"/>
        <w:gridCol w:w="109"/>
        <w:gridCol w:w="109"/>
        <w:gridCol w:w="109"/>
        <w:gridCol w:w="116"/>
        <w:gridCol w:w="240"/>
        <w:gridCol w:w="562"/>
        <w:gridCol w:w="117"/>
        <w:gridCol w:w="109"/>
        <w:gridCol w:w="109"/>
        <w:gridCol w:w="153"/>
        <w:gridCol w:w="153"/>
        <w:gridCol w:w="746"/>
        <w:gridCol w:w="156"/>
        <w:gridCol w:w="109"/>
        <w:gridCol w:w="109"/>
        <w:gridCol w:w="111"/>
        <w:gridCol w:w="231"/>
        <w:gridCol w:w="661"/>
        <w:gridCol w:w="111"/>
        <w:gridCol w:w="161"/>
      </w:tblGrid>
      <w:tr>
        <w:trPr/>
        <w:tc>
          <w:tcPr>
            <w:tcW w:w="30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Number of</w:t>
            </w:r>
            <w:r>
              <w:rPr/>
              <w:t xml:space="preserve"> </w:t>
              <w:br/>
            </w:r>
            <w:r>
              <w:rPr>
                <w:spacing w:val="-2"/>
              </w:rPr>
              <w:t>Outstanding</w:t>
            </w:r>
            <w:r>
              <w:rPr/>
              <w:t xml:space="preserve"> </w:t>
              <w:br/>
            </w:r>
            <w:r>
              <w:rPr>
                <w:spacing w:val="-2"/>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5"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Exercise</w:t>
            </w:r>
            <w:r>
              <w:rPr/>
              <w:t xml:space="preserve"> </w:t>
              <w:br/>
            </w:r>
            <w:r>
              <w:rPr>
                <w:spacing w:val="-2"/>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8"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Remaining</w:t>
            </w:r>
            <w:r>
              <w:rPr/>
              <w:t xml:space="preserve"> </w:t>
              <w:br/>
            </w:r>
            <w:r>
              <w:rPr>
                <w:spacing w:val="-2"/>
              </w:rPr>
              <w:t>Contractual</w:t>
            </w:r>
            <w:r>
              <w:rPr/>
              <w:t xml:space="preserve"> </w:t>
              <w:br/>
            </w:r>
            <w:r>
              <w:rPr>
                <w:spacing w:val="-2"/>
              </w:rPr>
              <w:t xml:space="preserve">Term </w:t>
            </w:r>
            <w:r>
              <w:rPr/>
              <w:br/>
            </w:r>
            <w:r>
              <w:rPr>
                <w:spacing w:val="-2"/>
              </w:rPr>
              <w:t xml:space="preserve">(in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Aggregate</w:t>
            </w:r>
            <w:r>
              <w:rPr/>
              <w:t xml:space="preserve"> </w:t>
              <w:br/>
            </w:r>
            <w:r>
              <w:rPr>
                <w:spacing w:val="-2"/>
              </w:rPr>
              <w:t>Intrinsic</w:t>
            </w:r>
            <w:r>
              <w:rPr/>
              <w:t xml:space="preserve"> </w:t>
              <w:br/>
            </w:r>
            <w:r>
              <w:rPr>
                <w:spacing w:val="-2"/>
              </w:rPr>
              <w:t xml:space="preserve">Value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3029" w:type="dxa"/>
            <w:tcBorders/>
            <w:shd w:fill="CCEEFF" w:val="clear"/>
            <w:tcMar>
              <w:bottom w:w="0" w:type="dxa"/>
            </w:tcMar>
            <w:vAlign w:val="center"/>
          </w:tcPr>
          <w:p>
            <w:pPr>
              <w:pStyle w:val="TableContents"/>
              <w:bidi w:val="0"/>
              <w:spacing w:before="0" w:after="0"/>
              <w:jc w:val="left"/>
              <w:rPr>
                <w:spacing w:val="-2"/>
              </w:rPr>
            </w:pPr>
            <w:r>
              <w:rPr>
                <w:spacing w:val="-2"/>
              </w:rPr>
              <w:t xml:space="preserve">Balance at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1,197,272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562" w:type="dxa"/>
            <w:tcBorders/>
            <w:shd w:fill="CCEEFF" w:val="clear"/>
            <w:tcMar>
              <w:bottom w:w="0" w:type="dxa"/>
            </w:tcMar>
            <w:vAlign w:val="center"/>
          </w:tcPr>
          <w:p>
            <w:pPr>
              <w:pStyle w:val="TableContents"/>
              <w:bidi w:val="0"/>
              <w:spacing w:before="0" w:after="283"/>
              <w:jc w:val="right"/>
              <w:rPr/>
            </w:pPr>
            <w:r>
              <w:rPr/>
              <w:t>0.93</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46" w:type="dxa"/>
            <w:tcBorders/>
            <w:shd w:fill="CCEEFF" w:val="clear"/>
            <w:tcMar>
              <w:bottom w:w="0" w:type="dxa"/>
            </w:tcMar>
            <w:vAlign w:val="center"/>
          </w:tcPr>
          <w:p>
            <w:pPr>
              <w:pStyle w:val="TableContents"/>
              <w:bidi w:val="0"/>
              <w:spacing w:before="0" w:after="283"/>
              <w:jc w:val="right"/>
              <w:rPr/>
            </w:pPr>
            <w:r>
              <w:rPr/>
              <w:t>9.73</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3,929</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0"/>
              <w:jc w:val="left"/>
              <w:rPr>
                <w:spacing w:val="-2"/>
              </w:rPr>
            </w:pPr>
            <w:r>
              <w:rPr>
                <w:spacing w:val="-2"/>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422,120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562" w:type="dxa"/>
            <w:tcBorders/>
            <w:tcMar>
              <w:bottom w:w="0" w:type="dxa"/>
            </w:tcMar>
            <w:vAlign w:val="center"/>
          </w:tcPr>
          <w:p>
            <w:pPr>
              <w:pStyle w:val="TableContents"/>
              <w:bidi w:val="0"/>
              <w:spacing w:before="0" w:after="283"/>
              <w:jc w:val="right"/>
              <w:rPr/>
            </w:pPr>
            <w:r>
              <w:rPr/>
              <w:t>1.70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46"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029"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Exercised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(344,263)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2" w:type="dxa"/>
            <w:tcBorders>
              <w:bottom w:val="single" w:sz="2" w:space="0" w:color="000000"/>
            </w:tcBorders>
            <w:shd w:fill="CCEEFF" w:val="clear"/>
            <w:tcMar>
              <w:bottom w:w="50" w:type="dxa"/>
            </w:tcMar>
            <w:vAlign w:val="center"/>
          </w:tcPr>
          <w:p>
            <w:pPr>
              <w:pStyle w:val="TableContents"/>
              <w:bidi w:val="0"/>
              <w:spacing w:before="0" w:after="283"/>
              <w:jc w:val="right"/>
              <w:rPr/>
            </w:pPr>
            <w:r>
              <w:rPr/>
              <w:t>0.77</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3" w:type="dxa"/>
            <w:tcBorders>
              <w:bottom w:val="single" w:sz="2" w:space="0" w:color="CCEEFF"/>
            </w:tcBorders>
            <w:shd w:fill="CCEEFF" w:val="clear"/>
            <w:vAlign w:val="center"/>
          </w:tcPr>
          <w:p>
            <w:pPr>
              <w:pStyle w:val="TableContents"/>
              <w:bidi w:val="0"/>
              <w:spacing w:before="0" w:after="283"/>
              <w:jc w:val="left"/>
              <w:rPr/>
            </w:pPr>
            <w:r>
              <w:rPr/>
              <w:t>​</w:t>
            </w:r>
          </w:p>
        </w:tc>
        <w:tc>
          <w:tcPr>
            <w:tcW w:w="15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4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6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0"/>
              <w:jc w:val="left"/>
              <w:rPr>
                <w:spacing w:val="-2"/>
              </w:rPr>
            </w:pPr>
            <w:r>
              <w:rPr>
                <w:spacing w:val="-2"/>
              </w:rPr>
              <w:t xml:space="preserve">Balance at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1,275,129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0" w:type="dxa"/>
            <w:tcBorders>
              <w:bottom w:val="double" w:sz="8" w:space="0" w:color="000000"/>
            </w:tcBorders>
            <w:tcMar>
              <w:bottom w:w="50" w:type="dxa"/>
            </w:tcMar>
            <w:vAlign w:val="center"/>
          </w:tcPr>
          <w:p>
            <w:pPr>
              <w:pStyle w:val="TableContents"/>
              <w:bidi w:val="0"/>
              <w:spacing w:before="0" w:after="283"/>
              <w:jc w:val="right"/>
              <w:rPr/>
            </w:pPr>
            <w:r>
              <w:rPr/>
              <w:t>$</w:t>
            </w:r>
          </w:p>
        </w:tc>
        <w:tc>
          <w:tcPr>
            <w:tcW w:w="562" w:type="dxa"/>
            <w:tcBorders>
              <w:bottom w:val="double" w:sz="8" w:space="0" w:color="000000"/>
            </w:tcBorders>
            <w:tcMar>
              <w:bottom w:w="50" w:type="dxa"/>
            </w:tcMar>
            <w:vAlign w:val="center"/>
          </w:tcPr>
          <w:p>
            <w:pPr>
              <w:pStyle w:val="TableContents"/>
              <w:bidi w:val="0"/>
              <w:spacing w:before="0" w:after="283"/>
              <w:jc w:val="right"/>
              <w:rPr/>
            </w:pPr>
            <w:r>
              <w:rPr/>
              <w:t>1.23</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bottom w:val="double" w:sz="8" w:space="0" w:color="000000"/>
            </w:tcBorders>
            <w:tcMar>
              <w:bottom w:w="50" w:type="dxa"/>
            </w:tcMar>
            <w:vAlign w:val="center"/>
          </w:tcPr>
          <w:p>
            <w:pPr>
              <w:pStyle w:val="TableContents"/>
              <w:bidi w:val="0"/>
              <w:spacing w:before="0" w:after="283"/>
              <w:jc w:val="right"/>
              <w:rPr/>
            </w:pPr>
            <w:r>
              <w:rPr/>
              <w:t>​</w:t>
            </w:r>
          </w:p>
        </w:tc>
        <w:tc>
          <w:tcPr>
            <w:tcW w:w="746" w:type="dxa"/>
            <w:tcBorders>
              <w:bottom w:val="double" w:sz="8" w:space="0" w:color="000000"/>
            </w:tcBorders>
            <w:tcMar>
              <w:bottom w:w="50" w:type="dxa"/>
            </w:tcMar>
            <w:vAlign w:val="center"/>
          </w:tcPr>
          <w:p>
            <w:pPr>
              <w:pStyle w:val="TableContents"/>
              <w:bidi w:val="0"/>
              <w:spacing w:before="0" w:after="283"/>
              <w:jc w:val="right"/>
              <w:rPr/>
            </w:pPr>
            <w:r>
              <w:rPr/>
              <w:t>9.02</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bottom w:val="double" w:sz="8" w:space="0" w:color="000000"/>
            </w:tcBorders>
            <w:tcMar>
              <w:bottom w:w="50" w:type="dxa"/>
            </w:tcMar>
            <w:vAlign w:val="center"/>
          </w:tcPr>
          <w:p>
            <w:pPr>
              <w:pStyle w:val="TableContents"/>
              <w:bidi w:val="0"/>
              <w:spacing w:before="0" w:after="283"/>
              <w:jc w:val="right"/>
              <w:rPr/>
            </w:pPr>
            <w:r>
              <w:rPr/>
              <w:t>$</w:t>
            </w:r>
          </w:p>
        </w:tc>
        <w:tc>
          <w:tcPr>
            <w:tcW w:w="661" w:type="dxa"/>
            <w:tcBorders>
              <w:bottom w:val="double" w:sz="8" w:space="0" w:color="000000"/>
            </w:tcBorders>
            <w:tcMar>
              <w:bottom w:w="50" w:type="dxa"/>
            </w:tcMar>
            <w:vAlign w:val="center"/>
          </w:tcPr>
          <w:p>
            <w:pPr>
              <w:pStyle w:val="TableContents"/>
              <w:bidi w:val="0"/>
              <w:spacing w:before="0" w:after="283"/>
              <w:jc w:val="right"/>
              <w:rPr/>
            </w:pPr>
            <w:r>
              <w:rPr/>
              <w:t>1,000</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029"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Vested and exercisable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0"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562"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74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661"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2025, there was $4.1 million of total unrecognized compensation cost related to performance-based unvested stock options, and the Company expects to recognize such amount when the achievement of the underlying performance conditions become probable.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Restricted Common Stock Awards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awarded restricted common stock to employees and non-employees under its 2023 Plan and may continue to award restricted common stock to employees and non-employees under the 2023 Plan. Additionally, employees who exercise their option awards prior to the vesting of that award hold common stock that is subject to further time or performance based vesting conditions and therefore classified as restricted stock for accounting purposes. The fair value of each share of restricted common stock is based on the market price of the Company’s common stock on the date of grant.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Time-Based Restricted Common Stock Awards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Restricted common stock that have time-based vesting conditions vest over a four-year period, subject to the employee’s continued employment with, or service to, the Company on each vesting date. Compensation expense is recognized on a straight-line basis over the vesting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12. Stock-based Compensation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Company’s time-based restricted common stock award activity for the year ended December 31, 2025:</w:t>
      </w:r>
      <w:r>
        <w:rPr>
          <w:rFonts w:ascii="Helvetica;Arial;sans-serif" w:hAnsi="Helvetica;Arial;sans-serif"/>
          <w:b w:val="false"/>
          <w:i w:val="false"/>
          <w:caps w:val="false"/>
          <w:smallCaps w:val="false"/>
          <w:color w:val="000000"/>
          <w:spacing w:val="4"/>
          <w:sz w:val="20"/>
        </w:rPr>
        <w:t xml:space="preserve"> </w:t>
      </w:r>
    </w:p>
    <w:tbl>
      <w:tblPr>
        <w:tblW w:w="8703" w:type="dxa"/>
        <w:jc w:val="left"/>
        <w:tblInd w:w="1393" w:type="dxa"/>
        <w:tblLayout w:type="fixed"/>
        <w:tblCellMar>
          <w:top w:w="0" w:type="dxa"/>
          <w:left w:w="0" w:type="dxa"/>
          <w:bottom w:w="28" w:type="dxa"/>
          <w:right w:w="0" w:type="dxa"/>
        </w:tblCellMar>
      </w:tblPr>
      <w:tblGrid>
        <w:gridCol w:w="5520"/>
        <w:gridCol w:w="109"/>
        <w:gridCol w:w="109"/>
        <w:gridCol w:w="109"/>
        <w:gridCol w:w="109"/>
        <w:gridCol w:w="1066"/>
        <w:gridCol w:w="109"/>
        <w:gridCol w:w="109"/>
        <w:gridCol w:w="109"/>
        <w:gridCol w:w="134"/>
        <w:gridCol w:w="279"/>
        <w:gridCol w:w="651"/>
        <w:gridCol w:w="136"/>
        <w:gridCol w:w="154"/>
      </w:tblGrid>
      <w:tr>
        <w:trPr/>
        <w:tc>
          <w:tcPr>
            <w:tcW w:w="55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2"/>
              </w:rPr>
              <w:t xml:space="preserve">Number </w:t>
            </w:r>
            <w:r>
              <w:rPr/>
              <w:br/>
            </w:r>
            <w:r>
              <w:rPr>
                <w:spacing w:val="-2"/>
              </w:rPr>
              <w:t xml:space="preserve">of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0" w:type="dxa"/>
            <w:gridSpan w:val="4"/>
            <w:tcBorders>
              <w:bottom w:val="single" w:sz="2" w:space="0" w:color="000000"/>
            </w:tcBorders>
            <w:vAlign w:val="center"/>
          </w:tcPr>
          <w:p>
            <w:pPr>
              <w:pStyle w:val="TableContents"/>
              <w:bidi w:val="0"/>
              <w:spacing w:before="0" w:after="0"/>
              <w:jc w:val="center"/>
              <w:rPr/>
            </w:pPr>
            <w:r>
              <w:rPr>
                <w:spacing w:val="-2"/>
              </w:rPr>
              <w:t xml:space="preserve">Weighted </w:t>
            </w:r>
            <w:r>
              <w:rPr/>
              <w:br/>
            </w:r>
            <w:r>
              <w:rPr>
                <w:spacing w:val="-2"/>
              </w:rPr>
              <w:t xml:space="preserve">Average </w:t>
            </w:r>
            <w:r>
              <w:rPr/>
              <w:br/>
            </w:r>
            <w:r>
              <w:rPr>
                <w:spacing w:val="-2"/>
              </w:rPr>
              <w:t xml:space="preserve">Grant Date </w:t>
            </w:r>
            <w:r>
              <w:rPr/>
              <w:br/>
            </w:r>
            <w:r>
              <w:rPr>
                <w:spacing w:val="-2"/>
              </w:rPr>
              <w:t xml:space="preserve">Fair Value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20"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common stock at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1,839,584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9"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0.11</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520" w:type="dxa"/>
            <w:tcBorders/>
            <w:tcMar>
              <w:bottom w:w="0" w:type="dxa"/>
            </w:tcMar>
            <w:vAlign w:val="center"/>
          </w:tcPr>
          <w:p>
            <w:pPr>
              <w:pStyle w:val="TableContents"/>
              <w:bidi w:val="0"/>
              <w:spacing w:before="0" w:after="0"/>
              <w:ind w:left="200" w:right="0" w:hanging="0"/>
              <w:jc w:val="left"/>
              <w:rPr>
                <w:spacing w:val="-2"/>
              </w:rPr>
            </w:pPr>
            <w:r>
              <w:rPr>
                <w:spacing w:val="-2"/>
              </w:rPr>
              <w:t xml:space="preserve">Issued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703,405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9"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3.59</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20" w:type="dxa"/>
            <w:tcBorders>
              <w:bottom w:val="single" w:sz="2" w:space="0" w:color="CCEEFF"/>
            </w:tcBorders>
            <w:shd w:fill="CCEEFF" w:val="clear"/>
            <w:tcMar>
              <w:bottom w:w="30" w:type="dxa"/>
            </w:tcMar>
            <w:vAlign w:val="center"/>
          </w:tcPr>
          <w:p>
            <w:pPr>
              <w:pStyle w:val="TableContents"/>
              <w:bidi w:val="0"/>
              <w:spacing w:before="0" w:after="0"/>
              <w:ind w:left="200" w:right="0" w:hanging="0"/>
              <w:jc w:val="left"/>
              <w:rPr>
                <w:spacing w:val="-2"/>
              </w:rPr>
            </w:pPr>
            <w:r>
              <w:rPr>
                <w:spacing w:val="-2"/>
              </w:rPr>
              <w:t xml:space="preserve">Vested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0" w:type="dxa"/>
            </w:tcMar>
            <w:vAlign w:val="center"/>
          </w:tcPr>
          <w:p>
            <w:pPr>
              <w:pStyle w:val="TableContents"/>
              <w:bidi w:val="0"/>
              <w:spacing w:before="0" w:after="283"/>
              <w:jc w:val="right"/>
              <w:rPr/>
            </w:pPr>
            <w:r>
              <w:rPr/>
              <w:t>(991,908)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4" w:type="dxa"/>
            <w:tcBorders>
              <w:bottom w:val="single" w:sz="2" w:space="0" w:color="CCEEFF"/>
            </w:tcBorders>
            <w:shd w:fill="CCEEFF" w:val="clear"/>
            <w:vAlign w:val="center"/>
          </w:tcPr>
          <w:p>
            <w:pPr>
              <w:pStyle w:val="TableContents"/>
              <w:bidi w:val="0"/>
              <w:spacing w:before="0" w:after="283"/>
              <w:jc w:val="left"/>
              <w:rPr/>
            </w:pPr>
            <w:r>
              <w:rPr/>
              <w:t>​</w:t>
            </w:r>
          </w:p>
        </w:tc>
        <w:tc>
          <w:tcPr>
            <w:tcW w:w="279"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651" w:type="dxa"/>
            <w:tcBorders>
              <w:bottom w:val="single" w:sz="2" w:space="0" w:color="000000"/>
            </w:tcBorders>
            <w:shd w:fill="CCEEFF" w:val="clear"/>
            <w:tcMar>
              <w:bottom w:w="30" w:type="dxa"/>
            </w:tcMar>
            <w:vAlign w:val="center"/>
          </w:tcPr>
          <w:p>
            <w:pPr>
              <w:pStyle w:val="TableContents"/>
              <w:bidi w:val="0"/>
              <w:spacing w:before="0" w:after="283"/>
              <w:jc w:val="right"/>
              <w:rPr/>
            </w:pPr>
            <w:r>
              <w:rPr/>
              <w:t>1.21</w:t>
            </w:r>
          </w:p>
        </w:tc>
        <w:tc>
          <w:tcPr>
            <w:tcW w:w="136"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20" w:type="dxa"/>
            <w:tcBorders/>
            <w:tcMar>
              <w:bottom w:w="0" w:type="dxa"/>
            </w:tcMar>
            <w:vAlign w:val="center"/>
          </w:tcPr>
          <w:p>
            <w:pPr>
              <w:pStyle w:val="TableContents"/>
              <w:bidi w:val="0"/>
              <w:spacing w:before="0" w:after="0"/>
              <w:jc w:val="left"/>
              <w:rPr>
                <w:spacing w:val="-2"/>
              </w:rPr>
            </w:pPr>
            <w:r>
              <w:rPr>
                <w:spacing w:val="-2"/>
              </w:rPr>
              <w:t xml:space="preserve">Unvested restricted common stock at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30" w:type="dxa"/>
            </w:tcMar>
            <w:vAlign w:val="center"/>
          </w:tcPr>
          <w:p>
            <w:pPr>
              <w:pStyle w:val="TableContents"/>
              <w:bidi w:val="0"/>
              <w:spacing w:before="0" w:after="283"/>
              <w:jc w:val="right"/>
              <w:rPr/>
            </w:pPr>
            <w:r>
              <w:rPr/>
              <w:t>​</w:t>
            </w:r>
          </w:p>
        </w:tc>
        <w:tc>
          <w:tcPr>
            <w:tcW w:w="1066" w:type="dxa"/>
            <w:tcBorders>
              <w:bottom w:val="double" w:sz="8" w:space="0" w:color="000000"/>
            </w:tcBorders>
            <w:tcMar>
              <w:bottom w:w="30" w:type="dxa"/>
            </w:tcMar>
            <w:vAlign w:val="center"/>
          </w:tcPr>
          <w:p>
            <w:pPr>
              <w:pStyle w:val="TableContents"/>
              <w:bidi w:val="0"/>
              <w:spacing w:before="0" w:after="283"/>
              <w:jc w:val="right"/>
              <w:rPr/>
            </w:pPr>
            <w:r>
              <w:rPr/>
              <w:t>1,551,081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9" w:type="dxa"/>
            <w:tcBorders>
              <w:bottom w:val="double" w:sz="8" w:space="0" w:color="000000"/>
            </w:tcBorders>
            <w:tcMar>
              <w:bottom w:w="30" w:type="dxa"/>
            </w:tcMar>
            <w:vAlign w:val="center"/>
          </w:tcPr>
          <w:p>
            <w:pPr>
              <w:pStyle w:val="TableContents"/>
              <w:bidi w:val="0"/>
              <w:spacing w:before="0" w:after="283"/>
              <w:jc w:val="right"/>
              <w:rPr/>
            </w:pPr>
            <w:r>
              <w:rPr/>
              <w:t>$</w:t>
            </w:r>
          </w:p>
        </w:tc>
        <w:tc>
          <w:tcPr>
            <w:tcW w:w="651" w:type="dxa"/>
            <w:tcBorders>
              <w:bottom w:val="double" w:sz="8" w:space="0" w:color="000000"/>
            </w:tcBorders>
            <w:tcMar>
              <w:bottom w:w="30" w:type="dxa"/>
            </w:tcMar>
            <w:vAlign w:val="center"/>
          </w:tcPr>
          <w:p>
            <w:pPr>
              <w:pStyle w:val="TableContents"/>
              <w:bidi w:val="0"/>
              <w:spacing w:before="0" w:after="283"/>
              <w:jc w:val="right"/>
              <w:rPr/>
            </w:pPr>
            <w:r>
              <w:rPr/>
              <w:t>1.12</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2025, there was $1.3 million of total unrecognized compensation cost related to time-based restricted common stock, and the Company expects to recognize such amount over a remaining weighted-average period of 2.3 years.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Performance-Based Restricted Common Stock Awards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Restricted common stock that have performance-based vesting conditions vest when certain milestones are achieved and approved by the Board, subject to the employee’s continued employment with, or service to, the Company on each vesting date. Compensation expense is recognized upon the achievement of the certain milestones.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the Company’s performance-based restricted common stock award activity for the year ended December 31, 2025:</w:t>
      </w:r>
      <w:r>
        <w:rPr>
          <w:rFonts w:ascii="Helvetica;Arial;sans-serif" w:hAnsi="Helvetica;Arial;sans-serif"/>
          <w:b w:val="false"/>
          <w:i w:val="false"/>
          <w:caps w:val="false"/>
          <w:smallCaps w:val="false"/>
          <w:color w:val="000000"/>
          <w:spacing w:val="4"/>
          <w:sz w:val="20"/>
        </w:rPr>
        <w:t xml:space="preserve"> </w:t>
      </w:r>
    </w:p>
    <w:tbl>
      <w:tblPr>
        <w:tblW w:w="8523" w:type="dxa"/>
        <w:jc w:val="left"/>
        <w:tblInd w:w="1393" w:type="dxa"/>
        <w:tblLayout w:type="fixed"/>
        <w:tblCellMar>
          <w:top w:w="0" w:type="dxa"/>
          <w:left w:w="0" w:type="dxa"/>
          <w:bottom w:w="28" w:type="dxa"/>
          <w:right w:w="0" w:type="dxa"/>
        </w:tblCellMar>
      </w:tblPr>
      <w:tblGrid>
        <w:gridCol w:w="5520"/>
        <w:gridCol w:w="109"/>
        <w:gridCol w:w="109"/>
        <w:gridCol w:w="109"/>
        <w:gridCol w:w="109"/>
        <w:gridCol w:w="886"/>
        <w:gridCol w:w="109"/>
        <w:gridCol w:w="109"/>
        <w:gridCol w:w="109"/>
        <w:gridCol w:w="134"/>
        <w:gridCol w:w="279"/>
        <w:gridCol w:w="651"/>
        <w:gridCol w:w="136"/>
        <w:gridCol w:w="154"/>
      </w:tblGrid>
      <w:tr>
        <w:trPr/>
        <w:tc>
          <w:tcPr>
            <w:tcW w:w="55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Number </w:t>
            </w:r>
            <w:r>
              <w:rPr/>
              <w:br/>
            </w:r>
            <w:r>
              <w:rPr>
                <w:spacing w:val="-2"/>
              </w:rPr>
              <w:t xml:space="preserve">of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 xml:space="preserve">Weighted </w:t>
            </w:r>
            <w:r>
              <w:rPr/>
              <w:br/>
            </w:r>
            <w:r>
              <w:rPr>
                <w:spacing w:val="-2"/>
              </w:rPr>
              <w:t>Average</w:t>
            </w:r>
            <w:r>
              <w:rPr/>
              <w:t xml:space="preserve"> </w:t>
              <w:br/>
            </w:r>
            <w:r>
              <w:rPr>
                <w:spacing w:val="-2"/>
              </w:rPr>
              <w:t xml:space="preserve">Grant Date </w:t>
            </w:r>
            <w:r>
              <w:rPr/>
              <w:br/>
            </w:r>
            <w:r>
              <w:rPr>
                <w:spacing w:val="-2"/>
              </w:rPr>
              <w:t xml:space="preserve">Fair Value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20"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common stock at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9"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520"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Issued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344,263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 w:type="dxa"/>
            <w:tcBorders>
              <w:bottom w:val="single" w:sz="2" w:space="0" w:color="FFFFFF"/>
            </w:tcBorders>
            <w:vAlign w:val="center"/>
          </w:tcPr>
          <w:p>
            <w:pPr>
              <w:pStyle w:val="TableContents"/>
              <w:bidi w:val="0"/>
              <w:spacing w:before="0" w:after="283"/>
              <w:jc w:val="left"/>
              <w:rPr/>
            </w:pPr>
            <w:r>
              <w:rPr/>
              <w:t>​</w:t>
            </w:r>
          </w:p>
        </w:tc>
        <w:tc>
          <w:tcPr>
            <w:tcW w:w="279" w:type="dxa"/>
            <w:tcBorders>
              <w:bottom w:val="single" w:sz="2" w:space="0" w:color="000000"/>
            </w:tcBorders>
            <w:tcMar>
              <w:bottom w:w="50" w:type="dxa"/>
            </w:tcMar>
            <w:vAlign w:val="center"/>
          </w:tcPr>
          <w:p>
            <w:pPr>
              <w:pStyle w:val="TableContents"/>
              <w:bidi w:val="0"/>
              <w:spacing w:before="0" w:after="283"/>
              <w:jc w:val="right"/>
              <w:rPr/>
            </w:pPr>
            <w:r>
              <w:rPr/>
              <w:t>​</w:t>
            </w:r>
          </w:p>
        </w:tc>
        <w:tc>
          <w:tcPr>
            <w:tcW w:w="651" w:type="dxa"/>
            <w:tcBorders>
              <w:bottom w:val="single" w:sz="2" w:space="0" w:color="000000"/>
            </w:tcBorders>
            <w:tcMar>
              <w:bottom w:w="50" w:type="dxa"/>
            </w:tcMar>
            <w:vAlign w:val="center"/>
          </w:tcPr>
          <w:p>
            <w:pPr>
              <w:pStyle w:val="TableContents"/>
              <w:bidi w:val="0"/>
              <w:spacing w:before="0" w:after="283"/>
              <w:jc w:val="right"/>
              <w:rPr/>
            </w:pPr>
            <w:r>
              <w:rPr/>
              <w:t>4.00</w:t>
            </w:r>
          </w:p>
        </w:tc>
        <w:tc>
          <w:tcPr>
            <w:tcW w:w="13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20"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common stock at December 31,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344,263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51" w:type="dxa"/>
            <w:tcBorders>
              <w:bottom w:val="double" w:sz="8" w:space="0" w:color="000000"/>
            </w:tcBorders>
            <w:shd w:fill="CCEEFF" w:val="clear"/>
            <w:tcMar>
              <w:bottom w:w="50" w:type="dxa"/>
            </w:tcMar>
            <w:vAlign w:val="center"/>
          </w:tcPr>
          <w:p>
            <w:pPr>
              <w:pStyle w:val="TableContents"/>
              <w:bidi w:val="0"/>
              <w:spacing w:before="0" w:after="283"/>
              <w:jc w:val="right"/>
              <w:rPr/>
            </w:pPr>
            <w:r>
              <w:rPr/>
              <w:t>4.00</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2025, there was $1.1 million of total unrecognized compensation cost related to performance-based restricted common stock, and the Company expects to recognize such amount when the achievement of the underlying performance conditions become probable.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Stock-Based Compensation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below summarizes the classification of the Company’s stock-based compensation expense related to stock options and restricted common stock awards in the consolidated statements of operations and comprehensive loss (in thousands):</w:t>
      </w:r>
      <w:r>
        <w:rPr>
          <w:rFonts w:ascii="Helvetica;Arial;sans-serif" w:hAnsi="Helvetica;Arial;sans-serif"/>
          <w:b w:val="false"/>
          <w:i w:val="false"/>
          <w:caps w:val="false"/>
          <w:smallCaps w:val="false"/>
          <w:color w:val="000000"/>
          <w:spacing w:val="4"/>
          <w:sz w:val="20"/>
        </w:rPr>
        <w:t xml:space="preserve"> </w:t>
      </w:r>
    </w:p>
    <w:tbl>
      <w:tblPr>
        <w:tblW w:w="7056" w:type="dxa"/>
        <w:jc w:val="left"/>
        <w:tblInd w:w="1393" w:type="dxa"/>
        <w:tblLayout w:type="fixed"/>
        <w:tblCellMar>
          <w:top w:w="0" w:type="dxa"/>
          <w:left w:w="0" w:type="dxa"/>
          <w:bottom w:w="28" w:type="dxa"/>
          <w:right w:w="0" w:type="dxa"/>
        </w:tblCellMar>
      </w:tblPr>
      <w:tblGrid>
        <w:gridCol w:w="3974"/>
        <w:gridCol w:w="109"/>
        <w:gridCol w:w="109"/>
        <w:gridCol w:w="123"/>
        <w:gridCol w:w="255"/>
        <w:gridCol w:w="731"/>
        <w:gridCol w:w="123"/>
        <w:gridCol w:w="123"/>
        <w:gridCol w:w="123"/>
        <w:gridCol w:w="123"/>
        <w:gridCol w:w="255"/>
        <w:gridCol w:w="731"/>
        <w:gridCol w:w="123"/>
        <w:gridCol w:w="154"/>
      </w:tblGrid>
      <w:tr>
        <w:trPr/>
        <w:tc>
          <w:tcPr>
            <w:tcW w:w="39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10" w:type="dxa"/>
            <w:gridSpan w:val="10"/>
            <w:tcBorders>
              <w:bottom w:val="single" w:sz="2" w:space="0" w:color="000000"/>
            </w:tcBorders>
            <w:tcMar>
              <w:bottom w:w="50" w:type="dxa"/>
            </w:tcMar>
            <w:vAlign w:val="center"/>
          </w:tcPr>
          <w:p>
            <w:pPr>
              <w:pStyle w:val="TableContents"/>
              <w:bidi w:val="0"/>
              <w:spacing w:before="0" w:after="0"/>
              <w:jc w:val="center"/>
              <w:rPr/>
            </w:pPr>
            <w:r>
              <w:rPr>
                <w:spacing w:val="-2"/>
              </w:rPr>
              <w:t>Years ended 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2"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2"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shd w:fill="CCEEFF" w:val="clear"/>
            <w:tcMar>
              <w:bottom w:w="0" w:type="dxa"/>
            </w:tcMar>
            <w:vAlign w:val="center"/>
          </w:tcPr>
          <w:p>
            <w:pPr>
              <w:pStyle w:val="TableContents"/>
              <w:bidi w:val="0"/>
              <w:spacing w:before="0" w:after="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731" w:type="dxa"/>
            <w:tcBorders/>
            <w:shd w:fill="CCEEFF" w:val="clear"/>
            <w:tcMar>
              <w:bottom w:w="0" w:type="dxa"/>
            </w:tcMar>
            <w:vAlign w:val="center"/>
          </w:tcPr>
          <w:p>
            <w:pPr>
              <w:pStyle w:val="TableContents"/>
              <w:bidi w:val="0"/>
              <w:spacing w:before="0" w:after="283"/>
              <w:jc w:val="right"/>
              <w:rPr/>
            </w:pPr>
            <w:r>
              <w:rPr/>
              <w:t>445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731" w:type="dxa"/>
            <w:tcBorders/>
            <w:shd w:fill="CCEEFF" w:val="clear"/>
            <w:tcMar>
              <w:bottom w:w="0" w:type="dxa"/>
            </w:tcMar>
            <w:vAlign w:val="center"/>
          </w:tcPr>
          <w:p>
            <w:pPr>
              <w:pStyle w:val="TableContents"/>
              <w:bidi w:val="0"/>
              <w:spacing w:before="0" w:after="283"/>
              <w:jc w:val="right"/>
              <w:rPr/>
            </w:pPr>
            <w:r>
              <w:rPr/>
              <w:t>955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74"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731" w:type="dxa"/>
            <w:tcBorders>
              <w:bottom w:val="single" w:sz="2" w:space="0" w:color="000000"/>
            </w:tcBorders>
            <w:tcMar>
              <w:bottom w:w="50" w:type="dxa"/>
            </w:tcMar>
            <w:vAlign w:val="center"/>
          </w:tcPr>
          <w:p>
            <w:pPr>
              <w:pStyle w:val="TableContents"/>
              <w:bidi w:val="0"/>
              <w:spacing w:before="0" w:after="283"/>
              <w:jc w:val="right"/>
              <w:rPr/>
            </w:pPr>
            <w:r>
              <w:rPr/>
              <w:t>560</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731" w:type="dxa"/>
            <w:tcBorders>
              <w:bottom w:val="single" w:sz="2" w:space="0" w:color="000000"/>
            </w:tcBorders>
            <w:tcMar>
              <w:bottom w:w="50" w:type="dxa"/>
            </w:tcMar>
            <w:vAlign w:val="center"/>
          </w:tcPr>
          <w:p>
            <w:pPr>
              <w:pStyle w:val="TableContents"/>
              <w:bidi w:val="0"/>
              <w:spacing w:before="0" w:after="283"/>
              <w:jc w:val="right"/>
              <w:rPr/>
            </w:pPr>
            <w:r>
              <w:rPr/>
              <w:t>2,042</w:t>
            </w:r>
          </w:p>
        </w:tc>
        <w:tc>
          <w:tcPr>
            <w:tcW w:w="123"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74" w:type="dxa"/>
            <w:tcBorders/>
            <w:shd w:fill="CCEEFF" w:val="clear"/>
            <w:tcMar>
              <w:bottom w:w="0" w:type="dxa"/>
            </w:tcMar>
            <w:vAlign w:val="center"/>
          </w:tcPr>
          <w:p>
            <w:pPr>
              <w:pStyle w:val="TableContents"/>
              <w:bidi w:val="0"/>
              <w:spacing w:before="0" w:after="0"/>
              <w:jc w:val="left"/>
              <w:rPr>
                <w:spacing w:val="-2"/>
              </w:rPr>
            </w:pPr>
            <w:r>
              <w:rPr>
                <w:spacing w:val="-2"/>
              </w:rPr>
              <w:t xml:space="preserve">Total 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31" w:type="dxa"/>
            <w:tcBorders>
              <w:bottom w:val="double" w:sz="8" w:space="0" w:color="000000"/>
            </w:tcBorders>
            <w:shd w:fill="CCEEFF" w:val="clear"/>
            <w:tcMar>
              <w:bottom w:w="50" w:type="dxa"/>
            </w:tcMar>
            <w:vAlign w:val="center"/>
          </w:tcPr>
          <w:p>
            <w:pPr>
              <w:pStyle w:val="TableContents"/>
              <w:bidi w:val="0"/>
              <w:spacing w:before="0" w:after="283"/>
              <w:jc w:val="right"/>
              <w:rPr/>
            </w:pPr>
            <w:r>
              <w:rPr/>
              <w:t>1,005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31" w:type="dxa"/>
            <w:tcBorders>
              <w:bottom w:val="double" w:sz="8" w:space="0" w:color="000000"/>
            </w:tcBorders>
            <w:shd w:fill="CCEEFF" w:val="clear"/>
            <w:tcMar>
              <w:bottom w:w="50" w:type="dxa"/>
            </w:tcMar>
            <w:vAlign w:val="center"/>
          </w:tcPr>
          <w:p>
            <w:pPr>
              <w:pStyle w:val="TableContents"/>
              <w:bidi w:val="0"/>
              <w:spacing w:before="0" w:after="283"/>
              <w:jc w:val="right"/>
              <w:rPr/>
            </w:pPr>
            <w:r>
              <w:rPr/>
              <w:t>2,997</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71"/>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13. 401(k) Plan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a defined-contribution savings plan under Section 401(k) of the IRC (401(k) Plan). The 401(k) Plan covers all employees who meet defined minimum age and service requirements and allows participants to defer a portion of their annual compensation on a pretax basis. The Company will make a contribution of 4% of each employee’s annual compensation up to annual safe harbor limits. The Company has expensed $0.1 million and $0.4 million in 401(k) contributions for the years ended December 31, 2024 and 2025, respectively.</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14. Income Taxes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years ended December 31, 2024 and 2025, the Company did not recognize any current or deferred income tax provision or benefit and is in a full valuation allowance. The Company did not make any federal, state, local or foreign income tax payments, net of refunds received, during the years ended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components of the Company’s loss before income taxes are as follows (in thousands):</w:t>
      </w:r>
      <w:r>
        <w:rPr>
          <w:rFonts w:ascii="Helvetica;Arial;sans-serif" w:hAnsi="Helvetica;Arial;sans-serif"/>
          <w:b w:val="false"/>
          <w:i w:val="false"/>
          <w:caps w:val="false"/>
          <w:smallCaps w:val="false"/>
          <w:color w:val="000000"/>
          <w:spacing w:val="4"/>
          <w:sz w:val="20"/>
        </w:rPr>
        <w:t xml:space="preserve"> </w:t>
      </w:r>
    </w:p>
    <w:tbl>
      <w:tblPr>
        <w:tblW w:w="6076" w:type="dxa"/>
        <w:jc w:val="left"/>
        <w:tblInd w:w="1393" w:type="dxa"/>
        <w:tblLayout w:type="fixed"/>
        <w:tblCellMar>
          <w:top w:w="0" w:type="dxa"/>
          <w:left w:w="0" w:type="dxa"/>
          <w:bottom w:w="28" w:type="dxa"/>
          <w:right w:w="0" w:type="dxa"/>
        </w:tblCellMar>
      </w:tblPr>
      <w:tblGrid>
        <w:gridCol w:w="2706"/>
        <w:gridCol w:w="109"/>
        <w:gridCol w:w="109"/>
        <w:gridCol w:w="109"/>
        <w:gridCol w:w="226"/>
        <w:gridCol w:w="916"/>
        <w:gridCol w:w="109"/>
        <w:gridCol w:w="109"/>
        <w:gridCol w:w="109"/>
        <w:gridCol w:w="109"/>
        <w:gridCol w:w="226"/>
        <w:gridCol w:w="976"/>
        <w:gridCol w:w="109"/>
        <w:gridCol w:w="154"/>
      </w:tblGrid>
      <w:tr>
        <w:trPr/>
        <w:tc>
          <w:tcPr>
            <w:tcW w:w="27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9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7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2"/>
              </w:rPr>
            </w:pPr>
            <w:r>
              <w:rPr>
                <w:spacing w:val="-2"/>
              </w:rPr>
              <w:t xml:space="preserve">U.S. Domestic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(27,836)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6" w:type="dxa"/>
            <w:tcBorders/>
            <w:shd w:fill="CCEEFF" w:val="clear"/>
            <w:tcMar>
              <w:bottom w:w="0" w:type="dxa"/>
            </w:tcMar>
            <w:vAlign w:val="center"/>
          </w:tcPr>
          <w:p>
            <w:pPr>
              <w:pStyle w:val="TableContents"/>
              <w:bidi w:val="0"/>
              <w:spacing w:before="0" w:after="283"/>
              <w:jc w:val="right"/>
              <w:rPr/>
            </w:pPr>
            <w:r>
              <w:rPr/>
              <w:t xml:space="preserve">(58,505)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6"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Foreign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2"/>
              </w:rPr>
            </w:pPr>
            <w:r>
              <w:rPr>
                <w:spacing w:val="-2"/>
              </w:rPr>
              <w:t xml:space="preserve">Pretax loss from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(27,836)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76" w:type="dxa"/>
            <w:tcBorders>
              <w:bottom w:val="double" w:sz="8" w:space="0" w:color="000000"/>
            </w:tcBorders>
            <w:shd w:fill="CCEEFF" w:val="clear"/>
            <w:tcMar>
              <w:bottom w:w="50" w:type="dxa"/>
            </w:tcMar>
            <w:vAlign w:val="center"/>
          </w:tcPr>
          <w:p>
            <w:pPr>
              <w:pStyle w:val="TableContents"/>
              <w:bidi w:val="0"/>
              <w:spacing w:before="0" w:after="283"/>
              <w:jc w:val="right"/>
              <w:rPr/>
            </w:pPr>
            <w:r>
              <w:rPr/>
              <w:t>(58,505)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reconciliation of income tax expense computed at the statutory corporate income tax rate to the effective income tax rate after the adoption of ASU 2023-09 for the years ended December 31, 2024 and 2025 is as follows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077"/>
        <w:gridCol w:w="109"/>
        <w:gridCol w:w="109"/>
        <w:gridCol w:w="113"/>
        <w:gridCol w:w="235"/>
        <w:gridCol w:w="807"/>
        <w:gridCol w:w="113"/>
        <w:gridCol w:w="113"/>
        <w:gridCol w:w="113"/>
        <w:gridCol w:w="113"/>
        <w:gridCol w:w="113"/>
        <w:gridCol w:w="715"/>
        <w:gridCol w:w="113"/>
        <w:gridCol w:w="109"/>
        <w:gridCol w:w="109"/>
        <w:gridCol w:w="109"/>
        <w:gridCol w:w="228"/>
        <w:gridCol w:w="902"/>
        <w:gridCol w:w="109"/>
        <w:gridCol w:w="109"/>
        <w:gridCol w:w="109"/>
        <w:gridCol w:w="109"/>
        <w:gridCol w:w="109"/>
        <w:gridCol w:w="691"/>
        <w:gridCol w:w="109"/>
        <w:gridCol w:w="167"/>
      </w:tblGrid>
      <w:tr>
        <w:trPr/>
        <w:tc>
          <w:tcPr>
            <w:tcW w:w="307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 Ended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8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 Ended December 31, </w:t>
            </w:r>
          </w:p>
        </w:tc>
        <w:tc>
          <w:tcPr>
            <w:tcW w:w="167" w:type="dxa"/>
            <w:tcBorders>
              <w:bottom w:val="single" w:sz="2" w:space="0" w:color="FFFFFF"/>
            </w:tcBorders>
            <w:vAlign w:val="center"/>
          </w:tcPr>
          <w:p>
            <w:pPr>
              <w:pStyle w:val="TableContents"/>
              <w:bidi w:val="0"/>
              <w:spacing w:before="0" w:after="283"/>
              <w:jc w:val="left"/>
              <w:rPr/>
            </w:pPr>
            <w:r>
              <w:rPr/>
              <w:t>​</w:t>
            </w:r>
          </w:p>
        </w:tc>
      </w:tr>
      <w:tr>
        <w:trPr/>
        <w:tc>
          <w:tcPr>
            <w:tcW w:w="307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8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67" w:type="dxa"/>
            <w:tcBorders>
              <w:bottom w:val="single" w:sz="2" w:space="0" w:color="FFFFFF"/>
            </w:tcBorders>
            <w:vAlign w:val="center"/>
          </w:tcPr>
          <w:p>
            <w:pPr>
              <w:pStyle w:val="TableContents"/>
              <w:bidi w:val="0"/>
              <w:spacing w:before="0" w:after="283"/>
              <w:jc w:val="left"/>
              <w:rPr/>
            </w:pPr>
            <w:r>
              <w:rPr/>
              <w:t>​</w:t>
            </w:r>
          </w:p>
        </w:tc>
      </w:tr>
      <w:tr>
        <w:trPr/>
        <w:tc>
          <w:tcPr>
            <w:tcW w:w="307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Amount </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05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Percent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Percent </w:t>
            </w:r>
          </w:p>
        </w:tc>
        <w:tc>
          <w:tcPr>
            <w:tcW w:w="167" w:type="dxa"/>
            <w:tcBorders>
              <w:bottom w:val="single" w:sz="2" w:space="0" w:color="FFFFFF"/>
            </w:tcBorders>
            <w:vAlign w:val="center"/>
          </w:tcPr>
          <w:p>
            <w:pPr>
              <w:pStyle w:val="TableContents"/>
              <w:bidi w:val="0"/>
              <w:spacing w:before="0" w:after="283"/>
              <w:jc w:val="left"/>
              <w:rPr/>
            </w:pPr>
            <w:r>
              <w:rPr/>
              <w:t>​</w:t>
            </w:r>
          </w:p>
        </w:tc>
      </w:tr>
      <w:tr>
        <w:trPr/>
        <w:tc>
          <w:tcPr>
            <w:tcW w:w="3077" w:type="dxa"/>
            <w:tcBorders/>
            <w:shd w:fill="CCEEFF" w:val="clear"/>
            <w:tcMar>
              <w:bottom w:w="0" w:type="dxa"/>
            </w:tcMar>
            <w:vAlign w:val="center"/>
          </w:tcPr>
          <w:p>
            <w:pPr>
              <w:pStyle w:val="TableContents"/>
              <w:bidi w:val="0"/>
              <w:spacing w:before="0" w:after="0"/>
              <w:jc w:val="left"/>
              <w:rPr>
                <w:spacing w:val="-2"/>
              </w:rPr>
            </w:pPr>
            <w:r>
              <w:rPr>
                <w:spacing w:val="-2"/>
              </w:rPr>
              <w:t xml:space="preserve">U.S. federal statutory tax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(5,845)</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21.0%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(12,286)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91" w:type="dxa"/>
            <w:tcBorders/>
            <w:shd w:fill="CCEEFF" w:val="clear"/>
            <w:tcMar>
              <w:bottom w:w="0" w:type="dxa"/>
            </w:tcMar>
            <w:vAlign w:val="center"/>
          </w:tcPr>
          <w:p>
            <w:pPr>
              <w:pStyle w:val="TableContents"/>
              <w:bidi w:val="0"/>
              <w:spacing w:before="0" w:after="283"/>
              <w:jc w:val="right"/>
              <w:rPr/>
            </w:pPr>
            <w:r>
              <w:rPr/>
              <w:t>21.0%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2"/>
              </w:rPr>
            </w:pPr>
            <w:r>
              <w:rPr>
                <w:spacing w:val="-2"/>
              </w:rPr>
              <w:t xml:space="preserve">Tax credits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307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Research and development tax credits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(798)</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2.9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(1,221)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91" w:type="dxa"/>
            <w:tcBorders/>
            <w:shd w:fill="CCEEFF" w:val="clear"/>
            <w:tcMar>
              <w:bottom w:w="0" w:type="dxa"/>
            </w:tcMar>
            <w:vAlign w:val="center"/>
          </w:tcPr>
          <w:p>
            <w:pPr>
              <w:pStyle w:val="TableContents"/>
              <w:bidi w:val="0"/>
              <w:spacing w:before="0" w:after="283"/>
              <w:jc w:val="right"/>
              <w:rPr/>
            </w:pPr>
            <w:r>
              <w:rPr/>
              <w:t>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0"/>
              <w:jc w:val="left"/>
              <w:rPr>
                <w:spacing w:val="-2"/>
              </w:rPr>
            </w:pPr>
            <w:r>
              <w:rPr>
                <w:spacing w:val="-2"/>
              </w:rPr>
              <w:t xml:space="preserve">Changes in valuation allowances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6,154</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(22.1)</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12,295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(21.0)</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3077" w:type="dxa"/>
            <w:tcBorders/>
            <w:shd w:fill="CCEEFF" w:val="clear"/>
            <w:tcMar>
              <w:bottom w:w="0" w:type="dxa"/>
            </w:tcMar>
            <w:vAlign w:val="center"/>
          </w:tcPr>
          <w:p>
            <w:pPr>
              <w:pStyle w:val="TableContents"/>
              <w:bidi w:val="0"/>
              <w:spacing w:before="0" w:after="0"/>
              <w:jc w:val="left"/>
              <w:rPr>
                <w:spacing w:val="-2"/>
              </w:rPr>
            </w:pPr>
            <w:r>
              <w:rPr>
                <w:spacing w:val="-2"/>
              </w:rPr>
              <w:t xml:space="preserve">Nontaxable or nondeductible items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489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(1.8)</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1,222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91" w:type="dxa"/>
            <w:tcBorders/>
            <w:shd w:fill="CCEEFF" w:val="clear"/>
            <w:tcMar>
              <w:bottom w:w="0" w:type="dxa"/>
            </w:tcMar>
            <w:vAlign w:val="center"/>
          </w:tcPr>
          <w:p>
            <w:pPr>
              <w:pStyle w:val="TableContents"/>
              <w:bidi w:val="0"/>
              <w:spacing w:before="0" w:after="283"/>
              <w:jc w:val="right"/>
              <w:rPr/>
            </w:pPr>
            <w:r>
              <w:rPr/>
              <w:t>(2.1)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r>
      <w:tr>
        <w:trPr/>
        <w:tc>
          <w:tcPr>
            <w:tcW w:w="3077"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Other reconciling items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50" w:type="dxa"/>
            </w:tcMar>
            <w:vAlign w:val="center"/>
          </w:tcPr>
          <w:p>
            <w:pPr>
              <w:pStyle w:val="TableContents"/>
              <w:bidi w:val="0"/>
              <w:spacing w:before="0" w:after="283"/>
              <w:jc w:val="right"/>
              <w:rPr/>
            </w:pPr>
            <w:r>
              <w:rPr/>
              <w:t>​</w:t>
            </w:r>
          </w:p>
        </w:tc>
        <w:tc>
          <w:tcPr>
            <w:tcW w:w="807" w:type="dxa"/>
            <w:tcBorders>
              <w:bottom w:val="single" w:sz="2" w:space="0" w:color="000000"/>
            </w:tcBorders>
            <w:tcMar>
              <w:bottom w:w="50" w:type="dxa"/>
            </w:tcMar>
            <w:vAlign w:val="center"/>
          </w:tcPr>
          <w:p>
            <w:pPr>
              <w:pStyle w:val="TableContents"/>
              <w:bidi w:val="0"/>
              <w:spacing w:before="0" w:after="283"/>
              <w:jc w:val="righ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000000"/>
            </w:tcBorders>
            <w:tcMar>
              <w:bottom w:w="50" w:type="dxa"/>
            </w:tcMar>
            <w:vAlign w:val="center"/>
          </w:tcPr>
          <w:p>
            <w:pPr>
              <w:pStyle w:val="TableContents"/>
              <w:bidi w:val="0"/>
              <w:spacing w:before="0" w:after="283"/>
              <w:jc w:val="right"/>
              <w:rPr/>
            </w:pPr>
            <w:r>
              <w:rPr/>
              <w:t>​</w:t>
            </w:r>
          </w:p>
        </w:tc>
        <w:tc>
          <w:tcPr>
            <w:tcW w:w="715" w:type="dxa"/>
            <w:tcBorders>
              <w:bottom w:val="single" w:sz="2" w:space="0" w:color="000000"/>
            </w:tcBorders>
            <w:tcMar>
              <w:bottom w:w="50" w:type="dxa"/>
            </w:tcMar>
            <w:vAlign w:val="center"/>
          </w:tcPr>
          <w:p>
            <w:pPr>
              <w:pStyle w:val="TableContents"/>
              <w:bidi w:val="0"/>
              <w:spacing w:before="0" w:after="283"/>
              <w:jc w:val="right"/>
              <w:rPr/>
            </w:pPr>
            <w:r>
              <w:rPr/>
              <w:t>0.0</w:t>
            </w:r>
          </w:p>
        </w:tc>
        <w:tc>
          <w:tcPr>
            <w:tcW w:w="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8" w:type="dxa"/>
            <w:tcBorders>
              <w:bottom w:val="single" w:sz="2" w:space="0" w:color="000000"/>
            </w:tcBorders>
            <w:tcMar>
              <w:bottom w:w="50" w:type="dxa"/>
            </w:tcMar>
            <w:vAlign w:val="center"/>
          </w:tcPr>
          <w:p>
            <w:pPr>
              <w:pStyle w:val="TableContents"/>
              <w:bidi w:val="0"/>
              <w:spacing w:before="0" w:after="283"/>
              <w:jc w:val="right"/>
              <w:rPr/>
            </w:pPr>
            <w:r>
              <w:rPr/>
              <w:t>​</w:t>
            </w:r>
          </w:p>
        </w:tc>
        <w:tc>
          <w:tcPr>
            <w:tcW w:w="902" w:type="dxa"/>
            <w:tcBorders>
              <w:bottom w:val="single" w:sz="2" w:space="0" w:color="000000"/>
            </w:tcBorders>
            <w:tcMar>
              <w:bottom w:w="50" w:type="dxa"/>
            </w:tcMar>
            <w:vAlign w:val="center"/>
          </w:tcPr>
          <w:p>
            <w:pPr>
              <w:pStyle w:val="TableContents"/>
              <w:bidi w:val="0"/>
              <w:spacing w:before="0" w:after="283"/>
              <w:jc w:val="right"/>
              <w:rPr/>
            </w:pPr>
            <w:r>
              <w:rPr/>
              <w:t>(10)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91" w:type="dxa"/>
            <w:tcBorders>
              <w:bottom w:val="single" w:sz="2" w:space="0" w:color="000000"/>
            </w:tcBorders>
            <w:tcMar>
              <w:bottom w:w="50" w:type="dxa"/>
            </w:tcMar>
            <w:vAlign w:val="center"/>
          </w:tcPr>
          <w:p>
            <w:pPr>
              <w:pStyle w:val="TableContents"/>
              <w:bidi w:val="0"/>
              <w:spacing w:before="0" w:after="283"/>
              <w:jc w:val="right"/>
              <w:rPr/>
            </w:pPr>
            <w:r>
              <w:rPr/>
              <w:t>0.0</w:t>
            </w:r>
          </w:p>
        </w:tc>
        <w:tc>
          <w:tcPr>
            <w:tcW w:w="109" w:type="dxa"/>
            <w:tcBorders>
              <w:bottom w:val="single" w:sz="2" w:space="0" w:color="FFFFFF"/>
            </w:tcBorders>
            <w:vAlign w:val="center"/>
          </w:tcPr>
          <w:p>
            <w:pPr>
              <w:pStyle w:val="TableContents"/>
              <w:bidi w:val="0"/>
              <w:spacing w:before="0" w:after="283"/>
              <w:jc w:val="left"/>
              <w:rPr/>
            </w:pPr>
            <w:r>
              <w:rPr/>
              <w:t>​</w:t>
            </w:r>
          </w:p>
        </w:tc>
        <w:tc>
          <w:tcPr>
            <w:tcW w:w="167" w:type="dxa"/>
            <w:tcBorders>
              <w:bottom w:val="single" w:sz="2" w:space="0" w:color="FFFFFF"/>
            </w:tcBorders>
            <w:vAlign w:val="center"/>
          </w:tcPr>
          <w:p>
            <w:pPr>
              <w:pStyle w:val="TableContents"/>
              <w:bidi w:val="0"/>
              <w:spacing w:before="0" w:after="283"/>
              <w:jc w:val="left"/>
              <w:rPr/>
            </w:pPr>
            <w:r>
              <w:rPr/>
              <w:t>​</w:t>
            </w:r>
          </w:p>
        </w:tc>
      </w:tr>
      <w:tr>
        <w:trPr/>
        <w:tc>
          <w:tcPr>
            <w:tcW w:w="3077" w:type="dxa"/>
            <w:tcBorders/>
            <w:shd w:fill="CCEEFF" w:val="clear"/>
            <w:tcMar>
              <w:bottom w:w="0" w:type="dxa"/>
            </w:tcMar>
            <w:vAlign w:val="center"/>
          </w:tcPr>
          <w:p>
            <w:pPr>
              <w:pStyle w:val="TableContents"/>
              <w:bidi w:val="0"/>
              <w:spacing w:before="0" w:after="0"/>
              <w:ind w:left="200" w:right="0" w:hanging="200"/>
              <w:jc w:val="left"/>
              <w:rPr>
                <w:b/>
              </w:rPr>
            </w:pPr>
            <w:r>
              <w:rPr>
                <w:b/>
                <w:spacing w:val="-2"/>
              </w:rPr>
              <w:t xml:space="preserve">Income tax expense and effective tax </w:t>
            </w:r>
            <w:r>
              <w:rPr>
                <w:b/>
              </w:rPr>
              <w:br/>
            </w:r>
            <w:r>
              <w:rPr>
                <w:b/>
                <w:spacing w:val="-2"/>
              </w:rPr>
              <w:t>rate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07"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715" w:type="dxa"/>
            <w:tcBorders>
              <w:bottom w:val="double" w:sz="8" w:space="0" w:color="000000"/>
            </w:tcBorders>
            <w:shd w:fill="CCEEFF" w:val="clear"/>
            <w:tcMar>
              <w:bottom w:w="37" w:type="dxa"/>
            </w:tcMar>
            <w:vAlign w:val="center"/>
          </w:tcPr>
          <w:p>
            <w:pPr>
              <w:pStyle w:val="TableContents"/>
              <w:bidi w:val="0"/>
              <w:spacing w:before="0" w:after="283"/>
              <w:jc w:val="right"/>
              <w:rPr/>
            </w:pPr>
            <w:r>
              <w:rPr/>
              <w:t>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02"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691" w:type="dxa"/>
            <w:tcBorders>
              <w:bottom w:val="double" w:sz="8" w:space="0" w:color="000000"/>
            </w:tcBorders>
            <w:shd w:fill="CCEEFF" w:val="clear"/>
            <w:tcMar>
              <w:bottom w:w="37"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effective income tax rate differs from the U.S. federal statutory rate of 21.0% primarily due to the valuation allowance maintained against the Company’s net deferred tax assets.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14. Income Taxes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significant components of the Company’s deferred tax assets and liabilities as of December 31, 2024 and 2025 are comprised of the following (in thousands):</w:t>
      </w:r>
      <w:r>
        <w:rPr>
          <w:rFonts w:ascii="Helvetica;Arial;sans-serif" w:hAnsi="Helvetica;Arial;sans-serif"/>
          <w:b w:val="false"/>
          <w:i w:val="false"/>
          <w:caps w:val="false"/>
          <w:smallCaps w:val="false"/>
          <w:color w:val="000000"/>
          <w:spacing w:val="4"/>
          <w:sz w:val="20"/>
        </w:rPr>
        <w:t xml:space="preserve"> </w:t>
      </w:r>
    </w:p>
    <w:tbl>
      <w:tblPr>
        <w:tblW w:w="7415" w:type="dxa"/>
        <w:jc w:val="left"/>
        <w:tblInd w:w="1393" w:type="dxa"/>
        <w:tblLayout w:type="fixed"/>
        <w:tblCellMar>
          <w:top w:w="0" w:type="dxa"/>
          <w:left w:w="0" w:type="dxa"/>
          <w:bottom w:w="28" w:type="dxa"/>
          <w:right w:w="0" w:type="dxa"/>
        </w:tblCellMar>
      </w:tblPr>
      <w:tblGrid>
        <w:gridCol w:w="4225"/>
        <w:gridCol w:w="109"/>
        <w:gridCol w:w="109"/>
        <w:gridCol w:w="109"/>
        <w:gridCol w:w="226"/>
        <w:gridCol w:w="796"/>
        <w:gridCol w:w="109"/>
        <w:gridCol w:w="109"/>
        <w:gridCol w:w="109"/>
        <w:gridCol w:w="109"/>
        <w:gridCol w:w="226"/>
        <w:gridCol w:w="916"/>
        <w:gridCol w:w="109"/>
        <w:gridCol w:w="154"/>
      </w:tblGrid>
      <w:tr>
        <w:trPr/>
        <w:tc>
          <w:tcPr>
            <w:tcW w:w="42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1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283"/>
              <w:jc w:val="left"/>
              <w:rPr>
                <w:spacing w:val="-2"/>
              </w:rPr>
            </w:pPr>
            <w:r>
              <w:rPr>
                <w:spacing w:val="-2"/>
              </w:rPr>
              <w:t xml:space="preserve">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ind w:left="200" w:right="0" w:hanging="0"/>
              <w:jc w:val="left"/>
              <w:rPr>
                <w:spacing w:val="-2"/>
              </w:rPr>
            </w:pPr>
            <w:r>
              <w:rPr>
                <w:spacing w:val="-2"/>
              </w:rPr>
              <w:t xml:space="preserve">Net operating loss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797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13,001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Tax credit carryforwards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1,118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2,987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ind w:left="200" w:right="0" w:hanging="0"/>
              <w:jc w:val="left"/>
              <w:rPr>
                <w:spacing w:val="-2"/>
              </w:rPr>
            </w:pPr>
            <w:r>
              <w:rPr>
                <w:spacing w:val="-2"/>
              </w:rPr>
              <w:t xml:space="preserve">Operating lease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6,944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Deferred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ind w:left="200" w:right="0" w:hanging="0"/>
              <w:jc w:val="left"/>
              <w:rPr>
                <w:spacing w:val="-2"/>
              </w:rPr>
            </w:pPr>
            <w:r>
              <w:rPr>
                <w:spacing w:val="-2"/>
              </w:rPr>
              <w:t xml:space="preserve">Amortization – start up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Capitalized research and development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6,437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7,964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Accrued expenses and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274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1,101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jc w:val="left"/>
              <w:rPr>
                <w:spacing w:val="-2"/>
              </w:rPr>
            </w:pPr>
            <w:r>
              <w:rPr>
                <w:spacing w:val="-2"/>
              </w:rPr>
              <w:t xml:space="preserve">Total 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11,944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 xml:space="preserve">32,521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Valuation allowance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(8,733)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(25,240)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jc w:val="left"/>
              <w:rPr>
                <w:spacing w:val="-2"/>
              </w:rPr>
            </w:pPr>
            <w:r>
              <w:rPr>
                <w:spacing w:val="-2"/>
              </w:rPr>
              <w:t xml:space="preserve">Net 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3,211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283"/>
              <w:jc w:val="left"/>
              <w:rPr>
                <w:spacing w:val="-2"/>
              </w:rPr>
            </w:pPr>
            <w:r>
              <w:rPr>
                <w:spacing w:val="-2"/>
              </w:rPr>
              <w:t xml:space="preserve">Deferred tax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25"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Operating lease right-of-use asset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(2,846)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(6,791)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25"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Depreciation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(365)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(490)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25"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Total deferred tax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(3,211)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(7,281)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jc w:val="left"/>
              <w:rPr>
                <w:spacing w:val="-2"/>
              </w:rPr>
            </w:pPr>
            <w:r>
              <w:rPr>
                <w:spacing w:val="-2"/>
              </w:rPr>
              <w:t xml:space="preserve">Net deferred tax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evaluated the positive and negative evidence bearing upon its ability to realize its deferred tax assets. Management has considered the Company’s history of cumulative net losses, estimated future taxable income, and prudent and feasible tax planning strategies and has concluded that it is more likely than not that the Company will not realize the benefits of its net deferred tax assets. Accordingly, a full valuation allowance has been established against these net deferred tax assets as of December 31, 2024 and 2025. The Company’s valuation allowance increased by approximately $16.5 million during the year ended December 31, 2025, primarily due to the increase in net operating loss carryforwards and capitalization of research and experimental expenditures.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change in its valuation allowance account with respect to deferred tax assets is as follows (in thousands):</w:t>
      </w:r>
      <w:r>
        <w:rPr>
          <w:rFonts w:ascii="Helvetica;Arial;sans-serif" w:hAnsi="Helvetica;Arial;sans-serif"/>
          <w:b w:val="false"/>
          <w:i w:val="false"/>
          <w:caps w:val="false"/>
          <w:smallCaps w:val="false"/>
          <w:color w:val="000000"/>
          <w:spacing w:val="4"/>
          <w:sz w:val="20"/>
        </w:rPr>
        <w:t xml:space="preserve"> </w:t>
      </w:r>
    </w:p>
    <w:tbl>
      <w:tblPr>
        <w:tblW w:w="4959" w:type="dxa"/>
        <w:jc w:val="left"/>
        <w:tblInd w:w="1393" w:type="dxa"/>
        <w:tblLayout w:type="fixed"/>
        <w:tblCellMar>
          <w:top w:w="0" w:type="dxa"/>
          <w:left w:w="0" w:type="dxa"/>
          <w:bottom w:w="28" w:type="dxa"/>
          <w:right w:w="0" w:type="dxa"/>
        </w:tblCellMar>
      </w:tblPr>
      <w:tblGrid>
        <w:gridCol w:w="1968"/>
        <w:gridCol w:w="109"/>
        <w:gridCol w:w="109"/>
        <w:gridCol w:w="113"/>
        <w:gridCol w:w="235"/>
        <w:gridCol w:w="673"/>
        <w:gridCol w:w="113"/>
        <w:gridCol w:w="113"/>
        <w:gridCol w:w="113"/>
        <w:gridCol w:w="113"/>
        <w:gridCol w:w="235"/>
        <w:gridCol w:w="798"/>
        <w:gridCol w:w="113"/>
        <w:gridCol w:w="154"/>
      </w:tblGrid>
      <w:tr>
        <w:trPr/>
        <w:tc>
          <w:tcPr>
            <w:tcW w:w="19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19"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4"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259"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68" w:type="dxa"/>
            <w:tcBorders/>
            <w:shd w:fill="CCEEFF" w:val="clear"/>
            <w:tcMar>
              <w:bottom w:w="0" w:type="dxa"/>
            </w:tcMar>
            <w:vAlign w:val="center"/>
          </w:tcPr>
          <w:p>
            <w:pPr>
              <w:pStyle w:val="TableContents"/>
              <w:bidi w:val="0"/>
              <w:spacing w:before="0" w:after="0"/>
              <w:jc w:val="left"/>
              <w:rPr>
                <w:spacing w:val="-2"/>
              </w:rPr>
            </w:pPr>
            <w:r>
              <w:rPr>
                <w:spacing w:val="-2"/>
              </w:rPr>
              <w:t xml:space="preserve">Beginning Balance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721</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8,733</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68" w:type="dxa"/>
            <w:tcBorders/>
            <w:tcMar>
              <w:bottom w:w="0" w:type="dxa"/>
            </w:tcMar>
            <w:vAlign w:val="center"/>
          </w:tcPr>
          <w:p>
            <w:pPr>
              <w:pStyle w:val="TableContents"/>
              <w:bidi w:val="0"/>
              <w:spacing w:before="0" w:after="0"/>
              <w:jc w:val="left"/>
              <w:rPr>
                <w:spacing w:val="-2"/>
              </w:rPr>
            </w:pPr>
            <w:r>
              <w:rPr>
                <w:spacing w:val="-2"/>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8,012</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16,507</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68"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Reductions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7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968"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Ending Balance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50" w:type="dxa"/>
            </w:tcMar>
            <w:vAlign w:val="center"/>
          </w:tcPr>
          <w:p>
            <w:pPr>
              <w:pStyle w:val="TableContents"/>
              <w:bidi w:val="0"/>
              <w:spacing w:before="0" w:after="283"/>
              <w:jc w:val="right"/>
              <w:rPr/>
            </w:pPr>
            <w:r>
              <w:rPr/>
              <w:t>$</w:t>
            </w:r>
          </w:p>
        </w:tc>
        <w:tc>
          <w:tcPr>
            <w:tcW w:w="673" w:type="dxa"/>
            <w:tcBorders>
              <w:bottom w:val="single" w:sz="2" w:space="0" w:color="000000"/>
            </w:tcBorders>
            <w:tcMar>
              <w:bottom w:w="50" w:type="dxa"/>
            </w:tcMar>
            <w:vAlign w:val="center"/>
          </w:tcPr>
          <w:p>
            <w:pPr>
              <w:pStyle w:val="TableContents"/>
              <w:bidi w:val="0"/>
              <w:spacing w:before="0" w:after="283"/>
              <w:jc w:val="right"/>
              <w:rPr/>
            </w:pPr>
            <w:r>
              <w:rPr/>
              <w:t>8,733</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50" w:type="dxa"/>
            </w:tcMar>
            <w:vAlign w:val="center"/>
          </w:tcPr>
          <w:p>
            <w:pPr>
              <w:pStyle w:val="TableContents"/>
              <w:bidi w:val="0"/>
              <w:spacing w:before="0" w:after="283"/>
              <w:jc w:val="right"/>
              <w:rPr/>
            </w:pPr>
            <w:r>
              <w:rPr/>
              <w:t>$</w:t>
            </w:r>
          </w:p>
        </w:tc>
        <w:tc>
          <w:tcPr>
            <w:tcW w:w="798" w:type="dxa"/>
            <w:tcBorders>
              <w:bottom w:val="single" w:sz="2" w:space="0" w:color="000000"/>
            </w:tcBorders>
            <w:tcMar>
              <w:bottom w:w="50" w:type="dxa"/>
            </w:tcMar>
            <w:vAlign w:val="center"/>
          </w:tcPr>
          <w:p>
            <w:pPr>
              <w:pStyle w:val="TableContents"/>
              <w:bidi w:val="0"/>
              <w:spacing w:before="0" w:after="283"/>
              <w:jc w:val="right"/>
              <w:rPr/>
            </w:pPr>
            <w:r>
              <w:rPr/>
              <w:t>25,240</w:t>
            </w:r>
          </w:p>
        </w:tc>
        <w:tc>
          <w:tcPr>
            <w:tcW w:w="113"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62" w:after="283"/>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As of December 31, 2024 and 2025, the Company had U.S. federal net operating loss (NOL) carryforwards of approximately $3.1 million and $47.1 million, respectively, which do not expire and may be available to offset future U.S. federal taxable income. U.S. federal NOL carryforwards generated after 2017 can be carried over indefinitely but will generally limit the NOL deduction to the lesser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14. Income Taxes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NOL carryover or 80% of a corporation’s taxable income, as required under Section 172 of the Internal Revenue Code (IRC).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2024 and 2025, the Company also had U.S. state NOL carryforwards of approximately $2.5 million and $49.2 million, respectively, which expire at various dates through 2045 and may be available to offset future U.S. state taxable income.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2024 and 2025, the Company had U.S. federal research and development (R&amp;D) tax credit carryforwards of approximately $0.8 million and $2.0 million, respectively, which expire at various dates through 2045 and may be available to offset future U.S. federal income tax liabilities.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2024 and 2025, the Company had U.S. state R&amp;D tax credit carryforwards of approximately $0.4 million and $1.2 million, respectively, which expire at various dates through 2040 and may be available to reduce future U.S. state income tax liabilities.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provisions of the IRC, the NOL and tax credit carryforwards are subject to review and possible adjustment by the Internal Revenue Service and state tax authorities. Utilization of U.S. federal and state NOL and tax credit carryforwards may be subject to a substantial annual limitation under Section 382 and Section 383 of the IRC, and corresponding provisions of state law, due to ownership changes that have occurred previously or that could occur in the future. These ownership changes may limit the amount of U.S. federal and state NOL and tax credit carryforwards that can be utilized annually to offset future taxable income and tax liabilities, respectively. The Company has not yet conducted a comprehensive study to assess whether any changes of ownership have occurred since its formation. Any limitation may result in expiration of a portion of the U.S. federal and state NOL carryforward or tax credit carryforwards before utilization, which would be offset by a change in the Company’s valuation allowance.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not yet conducted an R&amp;D tax credit study. Such a study, once undertaken by the Company, may result in an adjustment to the R&amp;D tax credit carryforwards. A full valuation allowance has been provided against the Company’s R&amp;D tax credits and, if an adjustment is required, this adjustment would be offset by an adjustment to the valuation allowance. Thus, there would be no impact to the consolidated balance sheets or consolidated statements of operations and comprehensive loss if an adjustment is required.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does not have any unrecognized tax benefit and therefore, no amounts are reflected in the determination of the Company’s deferred tax assets. If there were unrecognized tax benefits to be recognized, none of these amounts would affect the Company’s effective tax rate, since it would be offset by an equal corresponding adjustment in the deferred tax asset valuation allowance. 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tax positions meeting the more-likely-than-not threshold, the tax amount recognized in the financial statements is reduced by the largest benefit that has a greater than 50% likelihood of being realized upon the ultimate settlement with the relevant taxing authority. The Company will recognize interest and/or penalties related to uncertain tax benefits in income tax expense as they arise. As of December 31, 2024 and 2025, the Company had no reserves for uncertain tax benefits or related interest or penalties.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files tax returns as prescribed by the tax laws of the jurisdictions in which it operates. In a normal course of business, the Company is subject to examination by U.S. federal and state as well as foreign jurisdictions, where applicable. The Company’s tax years are still open since inception. To the extent that the Company has tax attribute carryforwards, the tax year in which the attributes were generated may still be adjusted upon examination by the U.S. Internal Revenue Service or state tax authorities to the extent utilized in a future period. The Company is not currently under examination by any tax authorities.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14. Income Taxes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July 4, 2025, the U.S. government enacted The One Big Beautiful Bill Act of 2025 (OBBBA) which includes, among other provisions, changes to the U.S. corporate income tax system. In accordance with ASC 740, the Company recognized the effects of the new tax law in the period that includes the enactment date. While OBBBA did not have a material impact on the Company’s consolidated financial statements as of and for the years ended December 31, 2024 and 2025, the Company will continue to assess the changes. However, the Company does not expect such changes will have a material effect on its consolidated financial statements in future periods.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15. Segments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operations are all in the United States. The Company operates and manages its business as a single operating and reportable segment. Factors considered in determining operating and reportable segments include the organization of the business, the nature of technology and the information reviewed by the Company’s CODM. The Company’s CODM is our CEO.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Operating segments are defined as components of an enterprise for which discrete financial information is available and is evaluated regularly by the CODM on a consolidated basis, in deciding how to allocate resources and assess performance. The Company’s revenues are derived from research collaboration and license agreements, which are further described in Note 9 — Significant Agreements. Consolidated net loss is used by the CODM to make key operating decisions, such as the determination of the rate at which the Company seeks to grow its research and development initiatives and the allocation of capital between research and development and general and administrative expenses. The CODM does not receive asset information other than what is presented on the consolidated balance sheets.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presents financial information, including significant segment expenses, which are regularly provided to the CODM and included within consolidated net loss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764"/>
        <w:gridCol w:w="109"/>
        <w:gridCol w:w="109"/>
        <w:gridCol w:w="110"/>
        <w:gridCol w:w="229"/>
        <w:gridCol w:w="777"/>
        <w:gridCol w:w="110"/>
        <w:gridCol w:w="110"/>
        <w:gridCol w:w="110"/>
        <w:gridCol w:w="110"/>
        <w:gridCol w:w="229"/>
        <w:gridCol w:w="777"/>
        <w:gridCol w:w="110"/>
        <w:gridCol w:w="158"/>
      </w:tblGrid>
      <w:tr>
        <w:trPr/>
        <w:tc>
          <w:tcPr>
            <w:tcW w:w="57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72"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7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22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283"/>
              <w:jc w:val="left"/>
              <w:rPr/>
            </w:pPr>
            <w:r>
              <w:rPr>
                <w:spacing w:val="-2"/>
              </w:rPr>
              <w:t>Collaboration 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ind w:left="200" w:right="0" w:hanging="0"/>
              <w:jc w:val="left"/>
              <w:rPr>
                <w:spacing w:val="-2"/>
              </w:rPr>
            </w:pPr>
            <w:r>
              <w:rPr>
                <w:spacing w:val="-2"/>
              </w:rPr>
              <w:t xml:space="preserve">Ocular (Bausch + Lomb)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2,778</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7,123</w:t>
            </w:r>
          </w:p>
        </w:tc>
        <w:tc>
          <w:tcPr>
            <w:tcW w:w="1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64"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CNS (Biogen)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7" w:type="dxa"/>
            <w:tcBorders>
              <w:bottom w:val="single" w:sz="2" w:space="0" w:color="000000"/>
            </w:tcBorders>
            <w:shd w:fill="CCEEFF" w:val="clear"/>
            <w:tcMar>
              <w:bottom w:w="50" w:type="dxa"/>
            </w:tcMar>
            <w:vAlign w:val="center"/>
          </w:tcPr>
          <w:p>
            <w:pPr>
              <w:pStyle w:val="TableContents"/>
              <w:bidi w:val="0"/>
              <w:spacing w:before="0" w:after="283"/>
              <w:jc w:val="right"/>
              <w:rPr/>
            </w:pPr>
            <w:r>
              <w:rPr/>
              <w:t>6,439</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collaboration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2,778</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13,562</w:t>
            </w:r>
          </w:p>
        </w:tc>
        <w:tc>
          <w:tcPr>
            <w:tcW w:w="1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283"/>
              <w:jc w:val="left"/>
              <w:rPr/>
            </w:pPr>
            <w:r>
              <w:rPr>
                <w:spacing w:val="-2"/>
              </w:rPr>
              <w:t>Research and development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CITY-FXI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5,694</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12,161</w:t>
            </w:r>
          </w:p>
        </w:tc>
        <w:tc>
          <w:tcPr>
            <w:tcW w:w="1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CITY-RBP4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2,981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7,109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ind w:left="200" w:right="0" w:hanging="0"/>
              <w:jc w:val="left"/>
              <w:rPr>
                <w:spacing w:val="-2"/>
              </w:rPr>
            </w:pPr>
            <w:r>
              <w:rPr>
                <w:spacing w:val="-2"/>
              </w:rPr>
              <w:t xml:space="preserve">CITY-TFR2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1,104</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2,985</w:t>
            </w:r>
          </w:p>
        </w:tc>
        <w:tc>
          <w:tcPr>
            <w:tcW w:w="1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Ocular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919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2,563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0"/>
              <w:ind w:left="200" w:right="0" w:hanging="0"/>
              <w:jc w:val="left"/>
              <w:rPr>
                <w:spacing w:val="-2"/>
              </w:rPr>
            </w:pPr>
            <w:r>
              <w:rPr>
                <w:spacing w:val="-2"/>
              </w:rPr>
              <w:t xml:space="preserve">CNS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240</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2,711</w:t>
            </w:r>
          </w:p>
        </w:tc>
        <w:tc>
          <w:tcPr>
            <w:tcW w:w="1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Personnel-related research and development expenses (including stock-based compensation expense of $445 and $955 for 2024 and 2025, respectively)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5,383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11,453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bottom w:val="single" w:sz="2" w:space="0" w:color="FFFFFF"/>
            </w:tcBorders>
            <w:tcMar>
              <w:bottom w:w="50" w:type="dxa"/>
            </w:tcMar>
            <w:vAlign w:val="center"/>
          </w:tcPr>
          <w:p>
            <w:pPr>
              <w:pStyle w:val="TableContents"/>
              <w:bidi w:val="0"/>
              <w:spacing w:lineRule="atLeast" w:line="142" w:before="0" w:after="0"/>
              <w:ind w:left="200" w:right="0" w:hanging="0"/>
              <w:jc w:val="left"/>
              <w:rPr>
                <w:sz w:val="15"/>
              </w:rPr>
            </w:pPr>
            <w:r>
              <w:rPr>
                <w:spacing w:val="-2"/>
                <w:sz w:val="20"/>
              </w:rPr>
              <w:t>Other indirect research and development expenses</w:t>
            </w:r>
            <w:r>
              <w:rPr>
                <w:spacing w:val="-2"/>
                <w:sz w:val="13"/>
              </w:rPr>
              <w:t>(1)</w:t>
            </w:r>
            <w:r>
              <w:rPr>
                <w:sz w:val="15"/>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9" w:type="dxa"/>
            <w:tcBorders>
              <w:bottom w:val="single" w:sz="2" w:space="0" w:color="000000"/>
            </w:tcBorders>
            <w:tcMar>
              <w:bottom w:w="50" w:type="dxa"/>
            </w:tcMar>
            <w:vAlign w:val="center"/>
          </w:tcPr>
          <w:p>
            <w:pPr>
              <w:pStyle w:val="TableContents"/>
              <w:bidi w:val="0"/>
              <w:spacing w:before="0" w:after="283"/>
              <w:jc w:val="right"/>
              <w:rPr/>
            </w:pPr>
            <w:r>
              <w:rPr/>
              <w:t>​</w:t>
            </w:r>
          </w:p>
        </w:tc>
        <w:tc>
          <w:tcPr>
            <w:tcW w:w="777" w:type="dxa"/>
            <w:tcBorders>
              <w:bottom w:val="single" w:sz="2" w:space="0" w:color="000000"/>
            </w:tcBorders>
            <w:tcMar>
              <w:bottom w:w="50" w:type="dxa"/>
            </w:tcMar>
            <w:vAlign w:val="center"/>
          </w:tcPr>
          <w:p>
            <w:pPr>
              <w:pStyle w:val="TableContents"/>
              <w:bidi w:val="0"/>
              <w:spacing w:before="0" w:after="283"/>
              <w:jc w:val="right"/>
              <w:rPr/>
            </w:pPr>
            <w:r>
              <w:rPr/>
              <w:t>9,361</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9" w:type="dxa"/>
            <w:tcBorders>
              <w:bottom w:val="single" w:sz="2" w:space="0" w:color="000000"/>
            </w:tcBorders>
            <w:tcMar>
              <w:bottom w:w="50" w:type="dxa"/>
            </w:tcMar>
            <w:vAlign w:val="center"/>
          </w:tcPr>
          <w:p>
            <w:pPr>
              <w:pStyle w:val="TableContents"/>
              <w:bidi w:val="0"/>
              <w:spacing w:before="0" w:after="283"/>
              <w:jc w:val="right"/>
              <w:rPr/>
            </w:pPr>
            <w:r>
              <w:rPr/>
              <w:t>​</w:t>
            </w:r>
          </w:p>
        </w:tc>
        <w:tc>
          <w:tcPr>
            <w:tcW w:w="777" w:type="dxa"/>
            <w:tcBorders>
              <w:bottom w:val="single" w:sz="2" w:space="0" w:color="000000"/>
            </w:tcBorders>
            <w:tcMar>
              <w:bottom w:w="50" w:type="dxa"/>
            </w:tcMar>
            <w:vAlign w:val="center"/>
          </w:tcPr>
          <w:p>
            <w:pPr>
              <w:pStyle w:val="TableContents"/>
              <w:bidi w:val="0"/>
              <w:spacing w:before="0" w:after="283"/>
              <w:jc w:val="right"/>
              <w:rPr/>
            </w:pPr>
            <w:r>
              <w:rPr/>
              <w:t>19,438</w:t>
            </w:r>
          </w:p>
        </w:tc>
        <w:tc>
          <w:tcPr>
            <w:tcW w:w="110"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Total research and development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25,682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58,420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764" w:type="dxa"/>
            <w:tcBorders/>
            <w:tcMar>
              <w:bottom w:w="0" w:type="dxa"/>
            </w:tcMar>
            <w:vAlign w:val="center"/>
          </w:tcPr>
          <w:p>
            <w:pPr>
              <w:pStyle w:val="TableContents"/>
              <w:bidi w:val="0"/>
              <w:spacing w:before="0" w:after="283"/>
              <w:jc w:val="left"/>
              <w:rPr/>
            </w:pPr>
            <w:r>
              <w:rPr>
                <w:spacing w:val="-2"/>
              </w:rPr>
              <w:t>General and administrative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764"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Personnel-related expenses (including stock-based compensation expense of $560 and $2,042 for 2024 and 2025, respectively)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1,757</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5,949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15. Segments (Continued)</w:t>
      </w:r>
      <w:r>
        <w:rPr>
          <w:rFonts w:ascii="Helvetica;Arial;sans-serif" w:hAnsi="Helvetica;Arial;sans-serif"/>
          <w:b/>
          <w:i w:val="false"/>
          <w:caps w:val="false"/>
          <w:smallCaps w:val="false"/>
          <w:color w:val="000000"/>
          <w:sz w:val="20"/>
        </w:rPr>
        <w:t xml:space="preserve"> </w:t>
      </w:r>
    </w:p>
    <w:tbl>
      <w:tblPr>
        <w:tblW w:w="7432" w:type="dxa"/>
        <w:jc w:val="left"/>
        <w:tblInd w:w="1393" w:type="dxa"/>
        <w:tblLayout w:type="fixed"/>
        <w:tblCellMar>
          <w:top w:w="0" w:type="dxa"/>
          <w:left w:w="0" w:type="dxa"/>
          <w:bottom w:w="28" w:type="dxa"/>
          <w:right w:w="0" w:type="dxa"/>
        </w:tblCellMar>
      </w:tblPr>
      <w:tblGrid>
        <w:gridCol w:w="4062"/>
        <w:gridCol w:w="109"/>
        <w:gridCol w:w="109"/>
        <w:gridCol w:w="109"/>
        <w:gridCol w:w="226"/>
        <w:gridCol w:w="976"/>
        <w:gridCol w:w="109"/>
        <w:gridCol w:w="109"/>
        <w:gridCol w:w="109"/>
        <w:gridCol w:w="109"/>
        <w:gridCol w:w="226"/>
        <w:gridCol w:w="916"/>
        <w:gridCol w:w="109"/>
        <w:gridCol w:w="154"/>
      </w:tblGrid>
      <w:tr>
        <w:trPr/>
        <w:tc>
          <w:tcPr>
            <w:tcW w:w="40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9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62" w:type="dxa"/>
            <w:tcBorders>
              <w:bottom w:val="single" w:sz="2" w:space="0" w:color="CCEEFF"/>
            </w:tcBorders>
            <w:shd w:fill="CCEEFF" w:val="clear"/>
            <w:tcMar>
              <w:bottom w:w="50" w:type="dxa"/>
            </w:tcMar>
            <w:vAlign w:val="center"/>
          </w:tcPr>
          <w:p>
            <w:pPr>
              <w:pStyle w:val="TableContents"/>
              <w:bidi w:val="0"/>
              <w:spacing w:lineRule="atLeast" w:line="142" w:before="0" w:after="0"/>
              <w:ind w:left="200" w:right="0" w:hanging="0"/>
              <w:jc w:val="left"/>
              <w:rPr>
                <w:sz w:val="15"/>
              </w:rPr>
            </w:pPr>
            <w:r>
              <w:rPr>
                <w:spacing w:val="-2"/>
                <w:sz w:val="20"/>
              </w:rPr>
              <w:t>Other general and administrative expenses</w:t>
            </w:r>
            <w:r>
              <w:rPr>
                <w:spacing w:val="-2"/>
                <w:sz w:val="13"/>
              </w:rPr>
              <w:t>(2)</w:t>
            </w:r>
            <w:r>
              <w:rPr>
                <w:sz w:val="15"/>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6" w:type="dxa"/>
            <w:tcBorders>
              <w:bottom w:val="single" w:sz="2" w:space="0" w:color="000000"/>
            </w:tcBorders>
            <w:shd w:fill="CCEEFF" w:val="clear"/>
            <w:tcMar>
              <w:bottom w:w="50" w:type="dxa"/>
            </w:tcMar>
            <w:vAlign w:val="center"/>
          </w:tcPr>
          <w:p>
            <w:pPr>
              <w:pStyle w:val="TableContents"/>
              <w:bidi w:val="0"/>
              <w:spacing w:before="0" w:after="283"/>
              <w:jc w:val="right"/>
              <w:rPr/>
            </w:pPr>
            <w:r>
              <w:rPr/>
              <w:t>4,429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9,115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062" w:type="dxa"/>
            <w:tcBorders/>
            <w:tcMar>
              <w:bottom w:w="0" w:type="dxa"/>
            </w:tcMar>
            <w:vAlign w:val="center"/>
          </w:tcPr>
          <w:p>
            <w:pPr>
              <w:pStyle w:val="TableContents"/>
              <w:bidi w:val="0"/>
              <w:spacing w:before="0" w:after="0"/>
              <w:ind w:left="200" w:right="0" w:hanging="0"/>
              <w:jc w:val="left"/>
              <w:rPr>
                <w:spacing w:val="-2"/>
              </w:rPr>
            </w:pPr>
            <w:r>
              <w:rPr>
                <w:spacing w:val="-2"/>
              </w:rPr>
              <w:t xml:space="preserve">Total general and administrative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6" w:type="dxa"/>
            <w:tcBorders/>
            <w:tcMar>
              <w:bottom w:w="0" w:type="dxa"/>
            </w:tcMar>
            <w:vAlign w:val="center"/>
          </w:tcPr>
          <w:p>
            <w:pPr>
              <w:pStyle w:val="TableContents"/>
              <w:bidi w:val="0"/>
              <w:spacing w:before="0" w:after="283"/>
              <w:jc w:val="right"/>
              <w:rPr/>
            </w:pPr>
            <w:r>
              <w:rPr/>
              <w:t>6,186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15,064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62" w:type="dxa"/>
            <w:tcBorders>
              <w:bottom w:val="single" w:sz="2" w:space="0" w:color="CCEEFF"/>
            </w:tcBorders>
            <w:shd w:fill="CCEEFF" w:val="clear"/>
            <w:tcMar>
              <w:bottom w:w="50" w:type="dxa"/>
            </w:tcMar>
            <w:vAlign w:val="center"/>
          </w:tcPr>
          <w:p>
            <w:pPr>
              <w:pStyle w:val="TableContents"/>
              <w:bidi w:val="0"/>
              <w:spacing w:lineRule="atLeast" w:line="142" w:before="0" w:after="0"/>
              <w:jc w:val="left"/>
              <w:rPr>
                <w:sz w:val="15"/>
              </w:rPr>
            </w:pPr>
            <w:r>
              <w:rPr>
                <w:spacing w:val="-2"/>
                <w:sz w:val="20"/>
              </w:rPr>
              <w:t>Other segment items, net</w:t>
            </w:r>
            <w:r>
              <w:rPr>
                <w:spacing w:val="-2"/>
                <w:sz w:val="13"/>
              </w:rPr>
              <w:t>(3)</w:t>
            </w:r>
            <w:r>
              <w:rPr>
                <w:sz w:val="15"/>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6" w:type="dxa"/>
            <w:tcBorders>
              <w:bottom w:val="single" w:sz="2" w:space="0" w:color="000000"/>
            </w:tcBorders>
            <w:shd w:fill="CCEEFF" w:val="clear"/>
            <w:tcMar>
              <w:bottom w:w="50" w:type="dxa"/>
            </w:tcMar>
            <w:vAlign w:val="center"/>
          </w:tcPr>
          <w:p>
            <w:pPr>
              <w:pStyle w:val="TableContents"/>
              <w:bidi w:val="0"/>
              <w:spacing w:before="0" w:after="283"/>
              <w:jc w:val="right"/>
              <w:rPr/>
            </w:pPr>
            <w:r>
              <w:rPr/>
              <w:t>1,254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1,417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062" w:type="dxa"/>
            <w:tcBorders/>
            <w:tcMar>
              <w:bottom w:w="0" w:type="dxa"/>
            </w:tcMar>
            <w:vAlign w:val="center"/>
          </w:tcPr>
          <w:p>
            <w:pPr>
              <w:pStyle w:val="TableContents"/>
              <w:bidi w:val="0"/>
              <w:spacing w:before="0" w:after="0"/>
              <w:jc w:val="left"/>
              <w:rPr>
                <w:spacing w:val="-2"/>
              </w:rPr>
            </w:pPr>
            <w:r>
              <w:rPr>
                <w:spacing w:val="-2"/>
              </w:rPr>
              <w:t xml:space="preserve">Net loss and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76" w:type="dxa"/>
            <w:tcBorders>
              <w:bottom w:val="double" w:sz="8" w:space="0" w:color="000000"/>
            </w:tcBorders>
            <w:tcMar>
              <w:bottom w:w="50" w:type="dxa"/>
            </w:tcMar>
            <w:vAlign w:val="center"/>
          </w:tcPr>
          <w:p>
            <w:pPr>
              <w:pStyle w:val="TableContents"/>
              <w:bidi w:val="0"/>
              <w:spacing w:before="0" w:after="283"/>
              <w:jc w:val="right"/>
              <w:rPr/>
            </w:pPr>
            <w:r>
              <w:rPr/>
              <w:t xml:space="preserve">(27,836)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tcMar>
              <w:bottom w:w="50" w:type="dxa"/>
            </w:tcMar>
            <w:vAlign w:val="center"/>
          </w:tcPr>
          <w:p>
            <w:pPr>
              <w:pStyle w:val="TableContents"/>
              <w:bidi w:val="0"/>
              <w:spacing w:before="0" w:after="283"/>
              <w:jc w:val="right"/>
              <w:rPr/>
            </w:pPr>
            <w:r>
              <w:rPr/>
              <w:t>(58,505)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432" w:type="dxa"/>
            <w:gridSpan w:val="14"/>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Other indirect research and development expenses consist of platform research costs, and laboratory supplies, equipment, facility-related expenses and other general research costs that are not specifically attributable to an individual research program.</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2550" distB="0" distL="0" distR="0" simplePos="0" locked="0" layoutInCell="1" allowOverlap="1" relativeHeight="553">
                <wp:simplePos x="0" y="0"/>
                <wp:positionH relativeFrom="column">
                  <wp:align>left</wp:align>
                </wp:positionH>
                <wp:positionV relativeFrom="line">
                  <wp:align>top</wp:align>
                </wp:positionV>
                <wp:extent cx="254000" cy="233680"/>
                <wp:effectExtent l="0" t="0" r="0" b="0"/>
                <wp:wrapSquare wrapText="right"/>
                <wp:docPr id="551" name="Frame52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Other general and administrative expenses consist of professional fees, facilities, depreciation, information technology and other general and administrative costs that are not personnel-related.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4450" distB="0" distL="0" distR="0" simplePos="0" locked="0" layoutInCell="1" allowOverlap="1" relativeHeight="554">
                <wp:simplePos x="0" y="0"/>
                <wp:positionH relativeFrom="column">
                  <wp:align>left</wp:align>
                </wp:positionH>
                <wp:positionV relativeFrom="line">
                  <wp:align>top</wp:align>
                </wp:positionV>
                <wp:extent cx="254000" cy="233680"/>
                <wp:effectExtent l="0" t="0" r="0" b="0"/>
                <wp:wrapSquare wrapText="right"/>
                <wp:docPr id="552" name="Frame53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Other segment items, net consists of interest income, interest expense and other expense, net.</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44450" distB="0" distL="0" distR="0" simplePos="0" locked="0" layoutInCell="1" allowOverlap="1" relativeHeight="555">
                <wp:simplePos x="0" y="0"/>
                <wp:positionH relativeFrom="column">
                  <wp:align>left</wp:align>
                </wp:positionH>
                <wp:positionV relativeFrom="line">
                  <wp:align>top</wp:align>
                </wp:positionV>
                <wp:extent cx="254000" cy="233680"/>
                <wp:effectExtent l="0" t="0" r="0" b="0"/>
                <wp:wrapSquare wrapText="right"/>
                <wp:docPr id="553" name="Frame53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16. Net Loss Per Share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two-class method, basic net loss per share is calculated by dividing the net loss attributable to common stockholders by the weighted average number of shares of common stock outstanding during the period, without consideration for potentially dilutive securities. The net loss available to common stockholders was not allocated to the convertible preferred stock as the holders did not have a contractual obligation to share in losses. Diluted net loss per share is the same as basic net loss per share for the years presented since the effects of any potentially dilutive securities, would be antidilutive given the net loss of the Company.</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02"/>
        <w:gridCol w:w="109"/>
        <w:gridCol w:w="109"/>
        <w:gridCol w:w="109"/>
        <w:gridCol w:w="226"/>
        <w:gridCol w:w="1066"/>
        <w:gridCol w:w="109"/>
        <w:gridCol w:w="109"/>
        <w:gridCol w:w="109"/>
        <w:gridCol w:w="109"/>
        <w:gridCol w:w="226"/>
        <w:gridCol w:w="1066"/>
        <w:gridCol w:w="109"/>
        <w:gridCol w:w="154"/>
      </w:tblGrid>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pPr>
            <w:r>
              <w:rPr>
                <w:spacing w:val="-2"/>
              </w:rPr>
              <w:t>Numerator: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jc w:val="left"/>
              <w:rPr>
                <w:spacing w:val="-2"/>
              </w:rPr>
            </w:pPr>
            <w:r>
              <w:rPr>
                <w:spacing w:val="-2"/>
              </w:rPr>
              <w:t xml:space="preserve">Net loss attributable to common stockholders –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(27,836)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(58,505)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pPr>
            <w:r>
              <w:rPr>
                <w:spacing w:val="-2"/>
              </w:rPr>
              <w:t>Denominator: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Weighted-average common shares outstanding – basic and diluted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3,403,747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4,696,166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jc w:val="left"/>
              <w:rPr>
                <w:spacing w:val="-2"/>
              </w:rPr>
            </w:pPr>
            <w:r>
              <w:rPr>
                <w:spacing w:val="-2"/>
              </w:rPr>
              <w:t xml:space="preserve">Net loss per common share –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(8.18)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(12.46)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accounting purposes, the computation of basic and diluted weighted-average common shares outstanding for the years ended December 31, 2024 and 2025, excludes all shares of unvested restricted common stock as such shares are not considered outstanding. See Note 12 — Stock-Based Compensation, for more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outstanding potentially dilutive securities have been excluded from the calculation of diluted net loss per share attributable to common stockholders, as their effect is antidilutive:</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196"/>
        <w:gridCol w:w="109"/>
        <w:gridCol w:w="109"/>
        <w:gridCol w:w="109"/>
        <w:gridCol w:w="109"/>
        <w:gridCol w:w="1186"/>
        <w:gridCol w:w="109"/>
        <w:gridCol w:w="109"/>
        <w:gridCol w:w="109"/>
        <w:gridCol w:w="109"/>
        <w:gridCol w:w="109"/>
        <w:gridCol w:w="1186"/>
        <w:gridCol w:w="109"/>
        <w:gridCol w:w="154"/>
      </w:tblGrid>
      <w:tr>
        <w:trPr/>
        <w:tc>
          <w:tcPr>
            <w:tcW w:w="5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4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Years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96" w:type="dxa"/>
            <w:tcBorders/>
            <w:shd w:fill="CCEEFF" w:val="clear"/>
            <w:tcMar>
              <w:bottom w:w="0" w:type="dxa"/>
            </w:tcMar>
            <w:vAlign w:val="center"/>
          </w:tcPr>
          <w:p>
            <w:pPr>
              <w:pStyle w:val="TableContents"/>
              <w:bidi w:val="0"/>
              <w:spacing w:before="0" w:after="0"/>
              <w:jc w:val="left"/>
              <w:rPr>
                <w:spacing w:val="-2"/>
              </w:rPr>
            </w:pPr>
            <w:r>
              <w:rPr>
                <w:spacing w:val="-2"/>
              </w:rPr>
              <w:t xml:space="preserve">Series Seed convertible preferred stock (as-converted basis)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4,544,990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96" w:type="dxa"/>
            <w:tcBorders/>
            <w:tcMar>
              <w:bottom w:w="0" w:type="dxa"/>
            </w:tcMar>
            <w:vAlign w:val="center"/>
          </w:tcPr>
          <w:p>
            <w:pPr>
              <w:pStyle w:val="TableContents"/>
              <w:bidi w:val="0"/>
              <w:spacing w:before="0" w:after="0"/>
              <w:jc w:val="left"/>
              <w:rPr>
                <w:spacing w:val="-2"/>
              </w:rPr>
            </w:pPr>
            <w:r>
              <w:rPr>
                <w:spacing w:val="-2"/>
              </w:rPr>
              <w:t xml:space="preserve">Series A convertible preferred stock (as-converted basis)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13,996,318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96" w:type="dxa"/>
            <w:tcBorders/>
            <w:shd w:fill="CCEEFF" w:val="clear"/>
            <w:tcMar>
              <w:bottom w:w="0" w:type="dxa"/>
            </w:tcMar>
            <w:vAlign w:val="center"/>
          </w:tcPr>
          <w:p>
            <w:pPr>
              <w:pStyle w:val="TableContents"/>
              <w:bidi w:val="0"/>
              <w:spacing w:before="0" w:after="0"/>
              <w:jc w:val="left"/>
              <w:rPr>
                <w:spacing w:val="-2"/>
              </w:rPr>
            </w:pPr>
            <w:r>
              <w:rPr>
                <w:spacing w:val="-2"/>
              </w:rPr>
              <w:t xml:space="preserve">Unvested restricted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1,839,584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1,895,344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96"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Stock options issued and 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4,068,417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4,341,602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96" w:type="dxa"/>
            <w:tcBorders/>
            <w:shd w:fill="CCEEFF" w:val="clear"/>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24,449,309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24,778,254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16. Net Loss Per Share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potentially dilutive securities related to the Biogen Note and B+L Note were excluded from the table above for the years ended December 31, 2024 and 2025, as applicable, as the number of shares that would be issuable upon conversion was indeterminable. See Note 5 — Convertible Notes, for more information.</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17. Related Party Transactions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Alexandria Real Estate Equities, Inc.</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years ended December 31, 2024 and 2025, the Company paid $4.2 million and $6.2 million, respectively, in rent and facility-related fees to a subsidiary of Alexandria Real Estate Equities, Inc., a related party, in connection with leasing its headquarters at 399 Binney Street (see Note 7). No payments were made to Alexandria Venture Investments, LLC, an investor in the Company, holding shares of Series A convertible preferred stock as of December 31, 2024 and 2025.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Company Founder Consulting Agreement &amp; Convertible Note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years ended December 31, 2024 and 2025, the Company made payments of $0.2 million and $0.2 million, respectively, to a Founder, who is a member of the Company’s Board, for consulting services.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September 2023, in connection with the Series Seed convertible preferred stock closing, the Company issued and sold 500,000 shares of Series Seed convertible preferred stock to the Founder for an aggregate purchase price of $0.5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January and February 2024, the Company issued convertible notes with an aggregate principal amount of $0.5 million to the Founder, who is a member of the Company’s Board (see Note 5). The convertible notes converted into 56,095 shares of Series A convertible preferred stock in connection with the closing, at a discounted conversion price of $9.02655 per share. This price reflects a 10% discount to the $10.0295 per share purchase price paid by new investors in the Series A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ARCH Venture Fund XII L.P.</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January and February 2024, the Company issued convertible notes with an aggregate principal amount of $4.5 million to ARCH, an investor in the Company’s convertible preferred stock financings (see Note 5). The convertible notes converted into 504,869 shares of Series A convertible preferred stock in connection with the closing, at a discounted conversion price of $9.02655 per share. This price reflects a 10% discount to the $10.0295 per share purchase price paid by new investors in the Series A convertible preferred stock financing.</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18. Subsequent Events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evaluated subsequent events from the balance sheet date through July 14, 2026, the date at which the consolidated financial statements were available to be issued and determined there are no events subject to additional disclosure, other than those disclosed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Option Grants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period from January 2026 through July 2026, the Company granted an aggregate of 2,644,562 stock options to employees, directors, and non-employee consultants under the 2023 Plan with exercise prices ranging from $2.01 to $8.66. The Company also granted an aggregate of 100,000 shares of restricted common stock to non-employee consultants under the 2023 Plan. The Company is evaluating the accounting impact of these grants.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536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CITY THERAPEUTICS,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CONSOLIDATED FINANCIAL STATEMENTS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18. Subsequent Events (Continued)</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Performance-Based Stock Options Milestone Achievement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January 2026, the Company determined that the achievement of a scientific milestone was probable, triggering the vesting condition on certain performance-based stock options. As a result, the Company recognized $3.4 million of stock-based compensation expense related to the vesting of 975,194 stock options.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Amendment to 2023 Plan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January 2026, May 2026 and June 2026, the Board amended the 2023 Plan to increase the number of shares reserved under the 2023 Plan to 7,271,166, 7,771,166, and 9,121,166,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Series B Convertible Preferred Stock Financing</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Beginning in May 2026 and in multiple closings through June 2026, the Company issued shares of its Series B convertible preferred stock pursuant to a Series B Convertible Preferred Stock Purchase Agreement (Series B Agreement) with certain investors. Pursuant to the Series B Agreement, the Company issued an aggregate of 7,725,348 shares of Series B convertible preferred stock. Of the 7,725,348 shares issued, 6,801,318 shares were issued at a price per share of $14.6295 for aggregate gross proceeds of $99.5 million. Additionally, the Company’s outstanding B+L Note and related accrued interest, at the time of the Series B Agreement, totaling $11.5 million, converted into 924,030 shares of Series B convertible preferred stock at a price per share of $12.4351.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is continuing to evaluate the accounting impact of the Series B convertible preferred financing, including the conversion of the outstanding convertible note, and will reflect the completed accounting impact in its financial statements for the period ended June 30, 2026.</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414" w:after="283"/>
        <w:jc w:val="center"/>
        <w:rPr>
          <w:rFonts w:ascii="Helvetica;Arial;sans-serif" w:hAnsi="Helvetica;Arial;sans-serif"/>
          <w:b w:val="false"/>
          <w:i w:val="false"/>
          <w:caps w:val="false"/>
          <w:smallCaps w:val="false"/>
          <w:color w:val="000000"/>
          <w:sz w:val="28"/>
        </w:rPr>
      </w:pPr>
      <w:r>
        <w:rPr>
          <w:rFonts w:ascii="Helvetica;Arial;sans-serif" w:hAnsi="Helvetica;Arial;sans-serif"/>
          <w:b w:val="false"/>
          <w:i w:val="false"/>
          <w:caps w:val="false"/>
          <w:smallCaps w:val="false"/>
          <w:color w:val="000000"/>
          <w:spacing w:val="-3"/>
          <w:sz w:val="28"/>
        </w:rPr>
        <w:t>Shares</w:t>
      </w:r>
      <w:r>
        <w:rPr>
          <w:rFonts w:ascii="Helvetica;Arial;sans-serif" w:hAnsi="Helvetica;Arial;sans-serif"/>
          <w:b w:val="false"/>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552700" cy="1609725"/>
            <wp:effectExtent l="0" t="0" r="0" b="0"/>
            <wp:docPr id="55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23" descr=""/>
                    <pic:cNvPicPr>
                      <a:picLocks noChangeAspect="1" noChangeArrowheads="1"/>
                    </pic:cNvPicPr>
                  </pic:nvPicPr>
                  <pic:blipFill>
                    <a:blip r:embed="rId24"/>
                    <a:stretch>
                      <a:fillRect/>
                    </a:stretch>
                  </pic:blipFill>
                  <pic:spPr bwMode="auto">
                    <a:xfrm>
                      <a:off x="0" y="0"/>
                      <a:ext cx="2552700" cy="16097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552" w:after="283"/>
        <w:jc w:val="center"/>
        <w:rPr>
          <w:rFonts w:ascii="Helvetica;Arial;sans-serif" w:hAnsi="Helvetica;Arial;sans-serif"/>
          <w:b w:val="false"/>
          <w:i w:val="false"/>
          <w:caps w:val="false"/>
          <w:smallCaps w:val="false"/>
          <w:color w:val="000000"/>
          <w:sz w:val="28"/>
        </w:rPr>
      </w:pPr>
      <w:r>
        <w:rPr>
          <w:rFonts w:ascii="Helvetica;Arial;sans-serif" w:hAnsi="Helvetica;Arial;sans-serif"/>
          <w:b w:val="false"/>
          <w:i w:val="false"/>
          <w:caps w:val="false"/>
          <w:smallCaps w:val="false"/>
          <w:color w:val="000000"/>
          <w:spacing w:val="-3"/>
          <w:sz w:val="28"/>
        </w:rPr>
        <w:t>Common Stock</w:t>
      </w:r>
      <w:r>
        <w:rPr>
          <w:rFonts w:ascii="Helvetica;Arial;sans-serif" w:hAnsi="Helvetica;Arial;sans-serif"/>
          <w:b w:val="false"/>
          <w:i w:val="false"/>
          <w:caps w:val="false"/>
          <w:smallCaps w:val="false"/>
          <w:color w:val="000000"/>
          <w:spacing w:val="6"/>
          <w:sz w:val="28"/>
        </w:rPr>
        <w:t xml:space="preserve"> </w:t>
      </w:r>
    </w:p>
    <w:p>
      <w:pPr>
        <w:pStyle w:val="TextBody"/>
        <w:bidi w:val="0"/>
        <w:spacing w:before="142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40" w:before="822" w:after="283"/>
        <w:jc w:val="center"/>
        <w:rPr>
          <w:rFonts w:ascii="Helvetica;Arial;sans-serif" w:hAnsi="Helvetica;Arial;sans-serif"/>
          <w:b/>
          <w:i w:val="false"/>
          <w:caps w:val="false"/>
          <w:smallCaps w:val="false"/>
          <w:color w:val="000000"/>
          <w:sz w:val="40"/>
        </w:rPr>
      </w:pPr>
      <w:r>
        <w:rPr>
          <w:rFonts w:ascii="Helvetica;Arial;sans-serif" w:hAnsi="Helvetica;Arial;sans-serif"/>
          <w:b/>
          <w:i w:val="false"/>
          <w:caps w:val="false"/>
          <w:smallCaps w:val="false"/>
          <w:color w:val="000000"/>
          <w:spacing w:val="-4"/>
          <w:sz w:val="40"/>
        </w:rPr>
        <w:t>Preliminary Prospectus</w:t>
      </w:r>
      <w:r>
        <w:rPr>
          <w:rFonts w:ascii="Helvetica;Arial;sans-serif" w:hAnsi="Helvetica;Arial;sans-serif"/>
          <w:b/>
          <w:i w:val="false"/>
          <w:caps w:val="false"/>
          <w:smallCaps w:val="false"/>
          <w:color w:val="000000"/>
          <w:spacing w:val="8"/>
          <w:sz w:val="40"/>
        </w:rPr>
        <w:t xml:space="preserve"> </w:t>
      </w:r>
    </w:p>
    <w:p>
      <w:pPr>
        <w:pStyle w:val="TextBody"/>
        <w:bidi w:val="0"/>
        <w:spacing w:before="837" w:after="283"/>
        <w:jc w:val="center"/>
        <w:rPr>
          <w:caps w:val="false"/>
          <w:smallCaps w:val="false"/>
          <w:color w:val="000000"/>
          <w:bdr w:val="single" w:sz="8" w:space="1" w:color="000000"/>
        </w:rPr>
      </w:pPr>
      <w:r>
        <w:rPr>
          <w:caps w:val="false"/>
          <w:smallCaps w:val="false"/>
          <w:color w:val="000000"/>
          <w:bdr w:val="single" w:sz="8" w:space="1" w:color="000000"/>
        </w:rPr>
        <w:t>​</w:t>
      </w:r>
    </w:p>
    <w:tbl>
      <w:tblPr>
        <w:tblW w:w="5070" w:type="dxa"/>
        <w:jc w:val="left"/>
        <w:tblInd w:w="1393" w:type="dxa"/>
        <w:tblLayout w:type="fixed"/>
        <w:tblCellMar>
          <w:top w:w="0" w:type="dxa"/>
          <w:left w:w="0" w:type="dxa"/>
          <w:bottom w:w="0" w:type="dxa"/>
          <w:right w:w="0" w:type="dxa"/>
        </w:tblCellMar>
      </w:tblPr>
      <w:tblGrid>
        <w:gridCol w:w="124"/>
        <w:gridCol w:w="2788"/>
        <w:gridCol w:w="109"/>
        <w:gridCol w:w="109"/>
        <w:gridCol w:w="922"/>
        <w:gridCol w:w="109"/>
        <w:gridCol w:w="109"/>
        <w:gridCol w:w="646"/>
        <w:gridCol w:w="154"/>
      </w:tblGrid>
      <w:tr>
        <w:trPr/>
        <w:tc>
          <w:tcPr>
            <w:tcW w:w="124" w:type="dxa"/>
            <w:tcBorders/>
            <w:vAlign w:val="center"/>
          </w:tcPr>
          <w:p>
            <w:pPr>
              <w:pStyle w:val="TableContents"/>
              <w:bidi w:val="0"/>
              <w:spacing w:before="0" w:after="283"/>
              <w:jc w:val="left"/>
              <w:rPr/>
            </w:pPr>
            <w:r>
              <w:rPr/>
              <w:t>​</w:t>
            </w:r>
          </w:p>
        </w:tc>
        <w:tc>
          <w:tcPr>
            <w:tcW w:w="2788" w:type="dxa"/>
            <w:tcBorders/>
            <w:vAlign w:val="center"/>
          </w:tcPr>
          <w:p>
            <w:pPr>
              <w:pStyle w:val="TableContents"/>
              <w:bidi w:val="0"/>
              <w:spacing w:before="0" w:after="283"/>
              <w:jc w:val="left"/>
              <w:rPr>
                <w:spacing w:val="-3"/>
              </w:rPr>
            </w:pPr>
            <w:r>
              <w:rPr>
                <w:spacing w:val="-3"/>
              </w:rPr>
              <w:t xml:space="preserve">Goldman Sachs &amp; Co. LLC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0"/>
              <w:jc w:val="center"/>
              <w:rPr>
                <w:spacing w:val="-3"/>
              </w:rPr>
            </w:pPr>
            <w:r>
              <w:rPr>
                <w:spacing w:val="-3"/>
              </w:rPr>
              <w:t xml:space="preserve">Jefferies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0"/>
              <w:jc w:val="right"/>
              <w:rPr/>
            </w:pPr>
            <w:r>
              <w:rPr>
                <w:spacing w:val="-3"/>
              </w:rPr>
              <w:t>Stifel</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92" w:type="dxa"/>
            <w:gridSpan w:val="7"/>
            <w:tcBorders/>
            <w:vAlign w:val="center"/>
          </w:tcPr>
          <w:p>
            <w:pPr>
              <w:pStyle w:val="TableContents"/>
              <w:bidi w:val="0"/>
              <w:spacing w:before="0" w:after="0"/>
              <w:jc w:val="center"/>
              <w:rPr/>
            </w:pPr>
            <w:r>
              <w:rPr>
                <w:spacing w:val="-3"/>
              </w:rPr>
              <w:t>Oppenheimer &amp; Co.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684" w:after="283"/>
        <w:ind w:left="1393" w:right="0" w:firstLine="40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Until         , 2026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underwriters and with respect to their unsold allotments or subscriptions.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center"/>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 2026</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274"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PART II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INFORMATION NOT REQUIRED IN PROSPECTUS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Unless otherwise indicated, all references to “City,” “City Therapeutics,” the “company,” “we,” “our,” “us” or similar terms refer to City Therapeutics, Inc. and its wholly-owned subsidiary, or either or both of them as the context may require.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13.   Other Expenses of Issuance and Distribution.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all expenses to be paid by us, other than underwriting discounts and commissions, in connection with this offering. All amounts shown are estimates except for the Securities and Exchange Commission (“SEC”) registration fee, the Financial Industry Regulatory Authority, Inc. (“FINRA”) filing fee and The Nasdaq Stock Market (“Nasdaq”) listing fee.</w:t>
      </w:r>
      <w:r>
        <w:rPr>
          <w:rFonts w:ascii="Helvetica;Arial;sans-serif" w:hAnsi="Helvetica;Arial;sans-serif"/>
          <w:b w:val="false"/>
          <w:i w:val="false"/>
          <w:caps w:val="false"/>
          <w:smallCaps w:val="false"/>
          <w:color w:val="000000"/>
          <w:spacing w:val="4"/>
          <w:sz w:val="20"/>
        </w:rPr>
        <w:t xml:space="preserve"> </w:t>
      </w:r>
    </w:p>
    <w:tbl>
      <w:tblPr>
        <w:tblW w:w="7310" w:type="dxa"/>
        <w:jc w:val="left"/>
        <w:tblInd w:w="1393" w:type="dxa"/>
        <w:tblLayout w:type="fixed"/>
        <w:tblCellMar>
          <w:top w:w="0" w:type="dxa"/>
          <w:left w:w="0" w:type="dxa"/>
          <w:bottom w:w="0" w:type="dxa"/>
          <w:right w:w="0" w:type="dxa"/>
        </w:tblCellMar>
      </w:tblPr>
      <w:tblGrid>
        <w:gridCol w:w="124"/>
        <w:gridCol w:w="5364"/>
        <w:gridCol w:w="109"/>
        <w:gridCol w:w="109"/>
        <w:gridCol w:w="109"/>
        <w:gridCol w:w="226"/>
        <w:gridCol w:w="100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64" w:type="dxa"/>
            <w:tcBorders/>
            <w:vAlign w:val="center"/>
          </w:tcPr>
          <w:p>
            <w:pPr>
              <w:pStyle w:val="TableContents"/>
              <w:bidi w:val="0"/>
              <w:spacing w:before="0" w:after="0"/>
              <w:jc w:val="left"/>
              <w:rPr>
                <w:spacing w:val="-2"/>
              </w:rPr>
            </w:pPr>
            <w:r>
              <w:rPr>
                <w:spacing w:val="-2"/>
              </w:rPr>
              <w:t xml:space="preserve">FINRA filing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Nasdaq listing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64" w:type="dxa"/>
            <w:tcBorders/>
            <w:vAlign w:val="center"/>
          </w:tcPr>
          <w:p>
            <w:pPr>
              <w:pStyle w:val="TableContents"/>
              <w:bidi w:val="0"/>
              <w:spacing w:before="0" w:after="0"/>
              <w:jc w:val="left"/>
              <w:rPr>
                <w:spacing w:val="-2"/>
              </w:rPr>
            </w:pPr>
            <w:r>
              <w:rPr>
                <w:spacing w:val="-2"/>
              </w:rPr>
              <w:t xml:space="preserve">Printing and mailing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64" w:type="dxa"/>
            <w:tcBorders/>
            <w:vAlign w:val="center"/>
          </w:tcPr>
          <w:p>
            <w:pPr>
              <w:pStyle w:val="TableContents"/>
              <w:bidi w:val="0"/>
              <w:spacing w:before="0" w:after="0"/>
              <w:jc w:val="left"/>
              <w:rPr>
                <w:spacing w:val="-2"/>
              </w:rPr>
            </w:pPr>
            <w:r>
              <w:rPr>
                <w:spacing w:val="-2"/>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Custodian transfer agent and registrar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536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Miscellaneous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06" w:type="dxa"/>
            <w:tcBorders>
              <w:bottom w:val="single" w:sz="2" w:space="0" w:color="000000"/>
            </w:tcBorders>
            <w:tcMar>
              <w:bottom w:w="50" w:type="dxa"/>
            </w:tcMar>
            <w:vAlign w:val="center"/>
          </w:tcPr>
          <w:p>
            <w:pPr>
              <w:pStyle w:val="TableContents"/>
              <w:bidi w:val="0"/>
              <w:spacing w:before="0" w:after="283"/>
              <w:jc w:val="right"/>
              <w:rPr/>
            </w:pPr>
            <w:r>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64" w:type="dxa"/>
            <w:tcBorders/>
            <w:shd w:fill="CCEEFF" w:val="clear"/>
            <w:vAlign w:val="center"/>
          </w:tcPr>
          <w:p>
            <w:pPr>
              <w:pStyle w:val="TableContents"/>
              <w:bidi w:val="0"/>
              <w:spacing w:before="0" w:after="0"/>
              <w:jc w:val="left"/>
              <w:rPr>
                <w:spacing w:val="-2"/>
              </w:rPr>
            </w:pPr>
            <w:r>
              <w:rPr>
                <w:spacing w:val="-2"/>
              </w:rPr>
              <w:t xml:space="preserve">Total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0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8"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To be provided by amendment.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7630" distB="0" distL="0" distR="0" simplePos="0" locked="0" layoutInCell="1" allowOverlap="1" relativeHeight="556">
                <wp:simplePos x="0" y="0"/>
                <wp:positionH relativeFrom="column">
                  <wp:align>left</wp:align>
                </wp:positionH>
                <wp:positionV relativeFrom="line">
                  <wp:align>top</wp:align>
                </wp:positionV>
                <wp:extent cx="254000" cy="233680"/>
                <wp:effectExtent l="0" t="0" r="0" b="0"/>
                <wp:wrapSquare wrapText="right"/>
                <wp:docPr id="555" name="Frame53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14.   Indemnification of Directors and Officers.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adopt provisions in our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that limit or eliminate the personal liability of our directors and officers to the fullest extent permitted by the DGCL, as it now exists or may in the future be amended. Consequently, our directors and officers will not be personally liable to us or our stockholders for monetary damages or breach of fiduciary duty as directors or officers, except for liability for: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breach of their duty of loyalty to us or our stockholders;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57">
                <wp:simplePos x="0" y="0"/>
                <wp:positionH relativeFrom="column">
                  <wp:align>left</wp:align>
                </wp:positionH>
                <wp:positionV relativeFrom="line">
                  <wp:align>top</wp:align>
                </wp:positionV>
                <wp:extent cx="254000" cy="350520"/>
                <wp:effectExtent l="0" t="0" r="0" b="0"/>
                <wp:wrapSquare wrapText="right"/>
                <wp:docPr id="556" name="Frame5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act or omission not in good faith or that involves intentional misconduct or a knowing violation of law;</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58">
                <wp:simplePos x="0" y="0"/>
                <wp:positionH relativeFrom="column">
                  <wp:align>left</wp:align>
                </wp:positionH>
                <wp:positionV relativeFrom="line">
                  <wp:align>top</wp:align>
                </wp:positionV>
                <wp:extent cx="254000" cy="350520"/>
                <wp:effectExtent l="0" t="0" r="0" b="0"/>
                <wp:wrapSquare wrapText="right"/>
                <wp:docPr id="557" name="Frame5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our directors, any unlawful payments related to dividends or unlawful stock purchases, redemptions or other distributions;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59">
                <wp:simplePos x="0" y="0"/>
                <wp:positionH relativeFrom="column">
                  <wp:align>left</wp:align>
                </wp:positionH>
                <wp:positionV relativeFrom="line">
                  <wp:align>top</wp:align>
                </wp:positionV>
                <wp:extent cx="254000" cy="350520"/>
                <wp:effectExtent l="0" t="0" r="0" b="0"/>
                <wp:wrapSquare wrapText="right"/>
                <wp:docPr id="558" name="Frame5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transaction from which they derived an improper personal benefit;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60">
                <wp:simplePos x="0" y="0"/>
                <wp:positionH relativeFrom="column">
                  <wp:align>left</wp:align>
                </wp:positionH>
                <wp:positionV relativeFrom="line">
                  <wp:posOffset>635</wp:posOffset>
                </wp:positionV>
                <wp:extent cx="254000" cy="350520"/>
                <wp:effectExtent l="0" t="0" r="0" b="0"/>
                <wp:wrapSquare wrapText="right"/>
                <wp:docPr id="559" name="Frame5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our officers, any derivative action by or in the right of the corporation.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61">
                <wp:simplePos x="0" y="0"/>
                <wp:positionH relativeFrom="column">
                  <wp:align>left</wp:align>
                </wp:positionH>
                <wp:positionV relativeFrom="line">
                  <wp:align>top</wp:align>
                </wp:positionV>
                <wp:extent cx="254000" cy="350520"/>
                <wp:effectExtent l="0" t="0" r="0" b="0"/>
                <wp:wrapSquare wrapText="right"/>
                <wp:docPr id="560" name="Frame5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limitations of liability do not alter director and officer liability under the federal securities laws and do not affect the availability of equitable remedies such as an injunction or rescission.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our amended and restated bylaws will provide that: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indemnify our directors, officers and, in the discretion of our board of directors, certain employees to the fullest extent permitted by the DGCL, as it now exists or may in the future be amended;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62">
                <wp:simplePos x="0" y="0"/>
                <wp:positionH relativeFrom="column">
                  <wp:align>left</wp:align>
                </wp:positionH>
                <wp:positionV relativeFrom="line">
                  <wp:align>top</wp:align>
                </wp:positionV>
                <wp:extent cx="254000" cy="350520"/>
                <wp:effectExtent l="0" t="0" r="0" b="0"/>
                <wp:wrapSquare wrapText="right"/>
                <wp:docPr id="561" name="Frame5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63">
                <wp:simplePos x="0" y="0"/>
                <wp:positionH relativeFrom="column">
                  <wp:align>left</wp:align>
                </wp:positionH>
                <wp:positionV relativeFrom="line">
                  <wp:align>top</wp:align>
                </wp:positionV>
                <wp:extent cx="254000" cy="350520"/>
                <wp:effectExtent l="0" t="0" r="0" b="0"/>
                <wp:wrapSquare wrapText="right"/>
                <wp:docPr id="562"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entered into or intend to enter into indemnification agreements with each of our directors and intend to enter into such agreements with our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underwriting agreement filed as Exhibit 1.1 to this registration statement provides for indemnification of us and our directors and officers by the underwriters against certain liabilities under the Securities Act and the Securities Exchange Act of 1934, as amended.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15.   Recent Sales of Unregistered Securities.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Set forth below is information regarding securities we have issued within the past three years that were not registered under the Securities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   Convertible Promissory Notes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July 2024 through May 2025, we issued convertible promissory notes with an aggregate principal amount of $40.0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   Issuances of Capital Stock</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Preferred Stock Issuances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September 2023 through March 2024, we issued and sold to certain accredited investors an aggregate of 4,544,990 shares of our Series Seed convertible preferred stock at a purchase price of $1.00 per share, for aggregate gross proceeds of approximately $4.5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From April 2024 through December 2024, we issued and sold to certain accredited investors an aggregate of 13,435,354 shares of our Series A convertible preferred stock at a purchase price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48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$10.0295 per share, for aggregate gross proceeds of approximately $134.7 million. During this period, we also issued an aggregate of 560,964 shares of our Series A convertible preferred stock upon the conversion of outstanding convertible promissory notes and related accrued interest at a conversion price of $9.02655 per share.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May 2026 through June 2026, we issued and sold to certain accredited investors an aggregate of 6,801,318 shares of our Series B convertible preferred stock at a purchase price of $14.6295 per share, for aggregate gross proceeds of approximately $99.5 million. During this period, we also issued an aggregate of 924,030 shares of our Series B convertible preferred stock upon the conversion of outstanding convertible promissory notes and related accrued interest at a conversion price of $12.4351 per share.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Common Stock Issuances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August 2023, we have issued and sold by exchange to our founders an aggregate of 5,319,148 shares of restricted common stock pursuant to stock purchase agreements for an insignificant amount of cash consideration.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October 2023 through April 2024, we issued an aggregate of 596,582 shares of our common stock to the Ohio State Innovation Foundation in connection with the exclusive license agreement.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July 2026, we issued and sold by exchange to certain of our consultants an aggregate of 100,000 shares of restricted common stock pursuant to stock purchase agreements for an insignificant amount of cash consideration.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   Grants and Exercises of Stock Options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February 2024, we have granted certain of our employees, consultants, and directors options to purchase an aggregate of 8,216,948 shares of our common stock under our 2023 Stock Plan, as amended from time to time (the “2023 Plan”), at exercise prices ranging from $0.08 to $8.66 per share.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January 2025, options to purchase an aggregate of 2,850,272 shares of our common stock under our 2023 Plan have been exercised at a weighted average exercise price of $1.05 per share.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16.   Exhibits and Financial Statement Schedules.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Exhibits.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957"/>
        <w:gridCol w:w="109"/>
        <w:gridCol w:w="109"/>
        <w:gridCol w:w="735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57" w:type="dxa"/>
            <w:tcBorders>
              <w:bottom w:val="single" w:sz="2" w:space="0" w:color="000000"/>
            </w:tcBorders>
            <w:tcMar>
              <w:bottom w:w="50" w:type="dxa"/>
            </w:tcMar>
            <w:vAlign w:val="center"/>
          </w:tcPr>
          <w:p>
            <w:pPr>
              <w:pStyle w:val="TableContents"/>
              <w:bidi w:val="0"/>
              <w:spacing w:before="0" w:after="0"/>
              <w:jc w:val="center"/>
              <w:rPr/>
            </w:pPr>
            <w:r>
              <w:rPr>
                <w:spacing w:val="-2"/>
              </w:rPr>
              <w:t>Exhibit</w:t>
            </w:r>
            <w:r>
              <w:rPr/>
              <w:t xml:space="preserve"> </w:t>
              <w:br/>
            </w:r>
            <w:r>
              <w:rPr>
                <w:spacing w:val="-2"/>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5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ind w:left="111" w:right="0" w:hanging="0"/>
              <w:jc w:val="center"/>
              <w:rPr>
                <w:spacing w:val="-2"/>
              </w:rPr>
            </w:pPr>
            <w:r>
              <w:rPr>
                <w:spacing w:val="-2"/>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ind w:left="111" w:right="0" w:hanging="0"/>
              <w:jc w:val="center"/>
              <w:rPr>
                <w:spacing w:val="-2"/>
              </w:rPr>
            </w:pPr>
            <w:r>
              <w:rPr>
                <w:spacing w:val="-2"/>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Amended and Restated Certificate of Incorporation, as currently in effect.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ind w:left="111" w:right="0" w:hanging="0"/>
              <w:jc w:val="center"/>
              <w:rPr>
                <w:spacing w:val="-2"/>
              </w:rPr>
            </w:pPr>
            <w:r>
              <w:rPr>
                <w:spacing w:val="-2"/>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Form of Second Amended and Restated Certificate of Incorporation, to be in effect immediately prior to the completion of this offering.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ind w:left="111" w:right="0" w:hanging="0"/>
              <w:jc w:val="center"/>
              <w:rPr>
                <w:spacing w:val="-2"/>
              </w:rPr>
            </w:pPr>
            <w:r>
              <w:rPr>
                <w:spacing w:val="-2"/>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Bylaws, as currently in effect.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ind w:left="111" w:right="0" w:hanging="0"/>
              <w:jc w:val="center"/>
              <w:rPr>
                <w:spacing w:val="-2"/>
              </w:rPr>
            </w:pPr>
            <w:r>
              <w:rPr>
                <w:spacing w:val="-2"/>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Form of Amended and Restated Bylaws, to be in effect as of the effectiveness of the registration statement of which this prospectus forms a part.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ind w:left="111" w:right="0" w:hanging="0"/>
              <w:jc w:val="center"/>
              <w:rPr>
                <w:spacing w:val="-2"/>
              </w:rPr>
            </w:pPr>
            <w:r>
              <w:rPr>
                <w:spacing w:val="-2"/>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Specimen Common Stock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ind w:left="111" w:right="0" w:hanging="0"/>
              <w:jc w:val="center"/>
              <w:rPr>
                <w:spacing w:val="-2"/>
              </w:rPr>
            </w:pPr>
            <w:r>
              <w:rPr>
                <w:spacing w:val="-2"/>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Amended and Restated Investors’ Rights Agreement, by and between the Registrant and certain of its stockholders, dated as of May 20,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ind w:left="111" w:right="0" w:hanging="0"/>
              <w:jc w:val="center"/>
              <w:rPr>
                <w:spacing w:val="-2"/>
              </w:rPr>
            </w:pPr>
            <w:r>
              <w:rPr>
                <w:spacing w:val="-2"/>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Opinion of Goodwin Procter LLP.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City Therapeutics, Inc. 2023 Stock Plan, as amended, and form of award agreements thereunder.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10.2*#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City Therapeutics, Inc. 2026 Stock Option and Incentive Plan and form of award agreements thereunder.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10.3*#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City Therapeutics, Inc. 2026 Employee Stock Purchase Plan.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10.4*#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Form of Indemnification Agreement by and between the Registrant and each of its director and executive officers.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10.5*#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Senior Executive Cash Incentive Bonus Plan.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10.6*#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Non-Employee Director Compensation Policy.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Compensation Recovery Policy.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10.8*†+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Research Collaboration and License Agreement, by and between Biogen MA Inc. and the Registrant, dated as of May 23, 2025.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10.9*†+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Research Collaboration and License Agreement, by and between Bausch + Lomb Ireland Limited and the Registrant, dated as of July 8, 2024.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10.10*†+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Exclusive License Agreement, by and between the Ohio State Innovation Foundation and the Registrant, dated as of October 30, 2023, as amended.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10.11*#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Consulting Agreement, by and between John Maraganore and the Registrant, dated as of August 14,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10.12*#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Form of Employment Agreement by and between the Registrant and its executive officers, to be in effect upon the completion of this offering.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10.13*+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Lease Agreement, by and between ARE-MA REGION NO. 58, LLC and the Registrant, dated as of December 19, 2023, as amended.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21.1*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Subsidiaries of Registrant.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Consent of PricewaterhouseCoopers LLP, independent registered public accounting firm.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Consent of Goodwin Procter LLP (included in Exhibit 5.1).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0"/>
              <w:jc w:val="center"/>
              <w:rPr>
                <w:spacing w:val="-2"/>
              </w:rPr>
            </w:pPr>
            <w:r>
              <w:rPr>
                <w:spacing w:val="-2"/>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spacing w:val="-2"/>
              </w:rPr>
            </w:pPr>
            <w:r>
              <w:rPr>
                <w:spacing w:val="-2"/>
              </w:rPr>
              <w:t xml:space="preserve">Power of Attorney.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57" w:type="dxa"/>
            <w:tcBorders/>
            <w:tcMar>
              <w:bottom w:w="0" w:type="dxa"/>
            </w:tcMar>
            <w:vAlign w:val="center"/>
          </w:tcPr>
          <w:p>
            <w:pPr>
              <w:pStyle w:val="TableContents"/>
              <w:bidi w:val="0"/>
              <w:spacing w:before="0" w:after="283"/>
              <w:jc w:val="left"/>
              <w:rPr>
                <w:spacing w:val="-2"/>
              </w:rPr>
            </w:pPr>
            <w:r>
              <w:rPr>
                <w:spacing w:val="-2"/>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8" w:type="dxa"/>
            <w:tcBorders/>
            <w:tcMar>
              <w:bottom w:w="0" w:type="dxa"/>
            </w:tcMar>
            <w:vAlign w:val="center"/>
          </w:tcPr>
          <w:p>
            <w:pPr>
              <w:pStyle w:val="TableContents"/>
              <w:bidi w:val="0"/>
              <w:spacing w:before="0" w:after="283"/>
              <w:jc w:val="left"/>
              <w:rPr/>
            </w:pPr>
            <w:r>
              <w:rPr>
                <w:spacing w:val="-2"/>
              </w:rPr>
              <w:t>Filing Fee Table.</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To be filed by amendment.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14300" distB="0" distL="0" distR="0" simplePos="0" locked="0" layoutInCell="1" allowOverlap="1" relativeHeight="564">
                <wp:simplePos x="0" y="0"/>
                <wp:positionH relativeFrom="column">
                  <wp:align>left</wp:align>
                </wp:positionH>
                <wp:positionV relativeFrom="line">
                  <wp:align>top</wp:align>
                </wp:positionV>
                <wp:extent cx="254000" cy="233680"/>
                <wp:effectExtent l="0" t="0" r="0" b="0"/>
                <wp:wrapSquare wrapText="right"/>
                <wp:docPr id="563" name="Frame54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2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Indicates a management contract or any compensatory plan, contract or arrangement.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565">
                <wp:simplePos x="0" y="0"/>
                <wp:positionH relativeFrom="column">
                  <wp:align>left</wp:align>
                </wp:positionH>
                <wp:positionV relativeFrom="line">
                  <wp:align>top</wp:align>
                </wp:positionV>
                <wp:extent cx="254000" cy="233680"/>
                <wp:effectExtent l="0" t="0" r="0" b="0"/>
                <wp:wrapSquare wrapText="right"/>
                <wp:docPr id="564" name="Frame54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2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Certain portions of this document that constitute confidential information have been redacted pursuant to Item 601(b)(10) of Regulation S-K.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566">
                <wp:simplePos x="0" y="0"/>
                <wp:positionH relativeFrom="column">
                  <wp:align>left</wp:align>
                </wp:positionH>
                <wp:positionV relativeFrom="line">
                  <wp:align>top</wp:align>
                </wp:positionV>
                <wp:extent cx="254000" cy="350520"/>
                <wp:effectExtent l="0" t="0" r="0" b="0"/>
                <wp:wrapSquare wrapText="right"/>
                <wp:docPr id="565" name="Frame5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6"/>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180" w:before="120" w:after="370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Certain exhibits and schedules to these agreements have been omitted pursuant to Item 601(a)(5) and (6) of Regulation S-K. The registrant will furnish copies of any of the exhibits and schedules to the Securities and Exchange Commission upon request.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567">
                <wp:simplePos x="0" y="0"/>
                <wp:positionH relativeFrom="column">
                  <wp:align>left</wp:align>
                </wp:positionH>
                <wp:positionV relativeFrom="line">
                  <wp:posOffset>635</wp:posOffset>
                </wp:positionV>
                <wp:extent cx="254000" cy="233680"/>
                <wp:effectExtent l="0" t="0" r="0" b="0"/>
                <wp:wrapSquare wrapText="right"/>
                <wp:docPr id="566" name="Frame54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   Financial Statement Schedules.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financial statement schedules are omitted because the information required to be set forth therein is not applicable or is shown in the audited consolidated financial statements or the notes thereto.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17.   Undertakings.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registrant hereby undertakes that: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Registrant will provide to the underwriter at the closing as specified in the underwriting agreement, certificates in such denominations and registered in such names as required by the underwriter to permit prompt delivery to each purchaser.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68">
                <wp:simplePos x="0" y="0"/>
                <wp:positionH relativeFrom="column">
                  <wp:align>left</wp:align>
                </wp:positionH>
                <wp:positionV relativeFrom="line">
                  <wp:align>top</wp:align>
                </wp:positionV>
                <wp:extent cx="254000" cy="350520"/>
                <wp:effectExtent l="0" t="0" r="0" b="0"/>
                <wp:wrapSquare wrapText="right"/>
                <wp:docPr id="567"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purposes of determining any liability under the Securities Act, as amended, the information omitted from a form of prospectus filed as part of this registration statement in reliance upon Rule 430A and contained in the form of prospectus filed by the Registrant pursuant to Rule 424(b)(1) or (4) or 497(h) under the Securities Act, as amended, shall be deemed to be part of this registration statement as of the time it was declared effective.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69">
                <wp:simplePos x="0" y="0"/>
                <wp:positionH relativeFrom="column">
                  <wp:align>left</wp:align>
                </wp:positionH>
                <wp:positionV relativeFrom="line">
                  <wp:align>top</wp:align>
                </wp:positionV>
                <wp:extent cx="254000" cy="350520"/>
                <wp:effectExtent l="0" t="0" r="0" b="0"/>
                <wp:wrapSquare wrapText="right"/>
                <wp:docPr id="568" name="Frame5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purpose of determining any liability under the Securities Act,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r>
        <w:rPr>
          <w:rFonts w:ascii="Helvetica;Arial;sans-serif" w:hAnsi="Helvetica;Arial;san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570">
                <wp:simplePos x="0" y="0"/>
                <wp:positionH relativeFrom="column">
                  <wp:align>left</wp:align>
                </wp:positionH>
                <wp:positionV relativeFrom="line">
                  <wp:align>top</wp:align>
                </wp:positionV>
                <wp:extent cx="254000" cy="350520"/>
                <wp:effectExtent l="0" t="0" r="0" b="0"/>
                <wp:wrapSquare wrapText="right"/>
                <wp:docPr id="569" name="Frame5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SIGNATURES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requirements of the Securities Act of 1933, as amended, the registrant has duly caused this Registration Statement on Form S-1 to be signed on its behalf by the undersigned, thereunto duly authorized, in the City of Cambridge, Massachusetts, on the       of    , 2026.</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ind w:left="5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CITY THERAPEUTICS, INC.</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r>
        <mc:AlternateContent>
          <mc:Choice Requires="wps">
            <w:drawing>
              <wp:anchor behindDoc="0" distT="215900" distB="0" distL="2794000" distR="0" simplePos="0" locked="0" layoutInCell="1" allowOverlap="1" relativeHeight="571">
                <wp:simplePos x="0" y="0"/>
                <wp:positionH relativeFrom="column">
                  <wp:align>left</wp:align>
                </wp:positionH>
                <wp:positionV relativeFrom="line">
                  <wp:align>top</wp:align>
                </wp:positionV>
                <wp:extent cx="254000" cy="350520"/>
                <wp:effectExtent l="0" t="0" r="0" b="0"/>
                <wp:wrapSquare wrapText="right"/>
                <wp:docPr id="570" name="Frame5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2"/>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 w:after="0"/>
        <w:ind w:left="683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Andrew Orth, M.B.A. </w:t>
      </w:r>
      <w:r>
        <mc:AlternateContent>
          <mc:Choice Requires="wps">
            <w:drawing>
              <wp:anchor behindDoc="0" distT="24130" distB="0" distL="3048000" distR="0" simplePos="0" locked="0" layoutInCell="1" allowOverlap="1" relativeHeight="572">
                <wp:simplePos x="0" y="0"/>
                <wp:positionH relativeFrom="column">
                  <wp:align>left</wp:align>
                </wp:positionH>
                <wp:positionV relativeFrom="line">
                  <wp:align>top</wp:align>
                </wp:positionV>
                <wp:extent cx="406400" cy="525780"/>
                <wp:effectExtent l="0" t="0" r="0" b="0"/>
                <wp:wrapSquare wrapText="right"/>
                <wp:docPr id="571" name="Frame548"/>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2"/>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1.9pt;mso-wrap-distance-bottom:0pt;margin-top:1.9pt;mso-position-vertical:top;mso-position-vertical-relative:text;margin-left:164.9pt;mso-position-horizontal:left;mso-position-horizontal-relative:text">
                <v:textbox>
                  <w:txbxContent>
                    <w:p>
                      <w:pPr>
                        <w:pStyle w:val="TextBody"/>
                        <w:bidi w:val="0"/>
                        <w:spacing w:before="0" w:after="283"/>
                        <w:jc w:val="left"/>
                        <w:rPr/>
                      </w:pPr>
                      <w:r>
                        <w:rPr>
                          <w:spacing w:val="-2"/>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President and Chief Executive Officer</w:t>
      </w:r>
      <w:r>
        <w:rPr>
          <w:rFonts w:ascii="Helvetica;Arial;sans-serif" w:hAnsi="Helvetica;Arial;sans-serif"/>
          <w:b w:val="false"/>
          <w:i w:val="false"/>
          <w:caps w:val="false"/>
          <w:smallCaps w:val="false"/>
          <w:color w:val="000000"/>
          <w:sz w:val="20"/>
        </w:rPr>
        <w:t xml:space="preserve"> </w:t>
      </w:r>
      <w:r>
        <mc:AlternateContent>
          <mc:Choice Requires="wps">
            <w:drawing>
              <wp:anchor behindDoc="0" distT="0" distB="0" distL="3048000" distR="0" simplePos="0" locked="0" layoutInCell="1" allowOverlap="1" relativeHeight="573">
                <wp:simplePos x="0" y="0"/>
                <wp:positionH relativeFrom="column">
                  <wp:align>left</wp:align>
                </wp:positionH>
                <wp:positionV relativeFrom="line">
                  <wp:posOffset>635</wp:posOffset>
                </wp:positionV>
                <wp:extent cx="406400" cy="350520"/>
                <wp:effectExtent l="0" t="0" r="0" b="0"/>
                <wp:wrapSquare wrapText="right"/>
                <wp:docPr id="572" name="Frame549"/>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2"/>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2"/>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POWER OF ATTORNEY AND SIGNATURES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individual whose signature appears below hereby constitutes and appoints Andrew Orth, M.B.A., and Sebastian Trousil, Ph.D.,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requirements of the Securities Act of 1933, as amended, this Registration Statement and Power of Attorney has been signed by the following person in the capacities and on the date indicated.</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2166"/>
        <w:gridCol w:w="109"/>
        <w:gridCol w:w="109"/>
        <w:gridCol w:w="4378"/>
        <w:gridCol w:w="109"/>
        <w:gridCol w:w="109"/>
        <w:gridCol w:w="155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16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7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Andrew Orth,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pPr>
            <w:r>
              <w:rPr>
                <w:spacing w:val="-2"/>
              </w:rPr>
              <w:t>President, Chief Executive Officer and Director (</w:t>
            </w:r>
            <w:r>
              <w:rPr>
                <w:i/>
                <w:spacing w:val="-2"/>
              </w:rPr>
              <w:t>Principal Executive Officer</w:t>
            </w: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Sebastian Trousil,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pPr>
            <w:r>
              <w:rPr>
                <w:spacing w:val="-2"/>
              </w:rPr>
              <w:t>Chief Operating Officer (</w:t>
            </w:r>
            <w:r>
              <w:rPr>
                <w:i/>
                <w:spacing w:val="-2"/>
              </w:rPr>
              <w:t>Principal Financial and Accounting Officer</w:t>
            </w: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John Maraganore,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spacing w:val="-2"/>
              </w:rPr>
            </w:pPr>
            <w:r>
              <w:rPr>
                <w:spacing w:val="-2"/>
              </w:rPr>
              <w:t xml:space="preserve">Executive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Barry Greene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Robert Nelsen,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Saraswathy V. Nochur,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6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2"/>
              </w:rPr>
            </w:pPr>
            <w:r>
              <w:rPr>
                <w:spacing w:val="-2"/>
              </w:rPr>
              <w:t xml:space="preserve">Ron Philip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8"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3" w:type="dxa"/>
            <w:tcBorders/>
            <w:tcMar>
              <w:bottom w:w="0" w:type="dxa"/>
            </w:tcMar>
            <w:vAlign w:val="center"/>
          </w:tcPr>
          <w:p>
            <w:pPr>
              <w:pStyle w:val="TableContents"/>
              <w:bidi w:val="0"/>
              <w:spacing w:before="0" w:after="0"/>
              <w:jc w:val="left"/>
              <w:rPr/>
            </w:pPr>
            <w:r>
              <w:rPr>
                <w:spacing w:val="-2"/>
              </w:rPr>
              <w:t>       </w:t>
            </w:r>
            <w:r>
              <w:rPr>
                <w:spacing w:val="-2"/>
              </w:rPr>
              <w:t>, 2026</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164789</Words>
  <Characters>925296</Characters>
  <CharactersWithSpaces>1101323</CharactersWithSpaces>
  <Paragraphs>13938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